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75336" w14:textId="77777777" w:rsidR="00C4301C" w:rsidRPr="00AF5490" w:rsidRDefault="00AF5490" w:rsidP="00C4301C">
      <w:pPr>
        <w:pStyle w:val="Padro"/>
        <w:spacing w:line="360" w:lineRule="auto"/>
        <w:jc w:val="center"/>
        <w:rPr>
          <w:b/>
          <w:bCs/>
          <w:i/>
          <w:iCs/>
          <w:caps/>
          <w:sz w:val="28"/>
          <w:szCs w:val="28"/>
        </w:rPr>
      </w:pPr>
      <w:r w:rsidRPr="00AF5490">
        <w:rPr>
          <w:b/>
          <w:bCs/>
          <w:iCs/>
          <w:sz w:val="28"/>
          <w:szCs w:val="28"/>
        </w:rPr>
        <w:t xml:space="preserve">Potencial antioxidante e </w:t>
      </w:r>
      <w:proofErr w:type="spellStart"/>
      <w:r w:rsidRPr="00AF5490">
        <w:rPr>
          <w:b/>
          <w:bCs/>
          <w:iCs/>
          <w:sz w:val="28"/>
          <w:szCs w:val="28"/>
        </w:rPr>
        <w:t>alelopático</w:t>
      </w:r>
      <w:proofErr w:type="spellEnd"/>
      <w:r w:rsidRPr="00AF5490">
        <w:rPr>
          <w:b/>
          <w:bCs/>
          <w:iCs/>
          <w:sz w:val="28"/>
          <w:szCs w:val="28"/>
        </w:rPr>
        <w:t xml:space="preserve"> de</w:t>
      </w:r>
      <w:r w:rsidRPr="00AF549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4301C" w:rsidRPr="00AF5490">
        <w:rPr>
          <w:b/>
          <w:bCs/>
          <w:i/>
          <w:iCs/>
          <w:caps/>
          <w:sz w:val="28"/>
          <w:szCs w:val="28"/>
        </w:rPr>
        <w:t>C</w:t>
      </w:r>
      <w:r w:rsidR="00C4301C" w:rsidRPr="00AF5490">
        <w:rPr>
          <w:b/>
          <w:bCs/>
          <w:i/>
          <w:iCs/>
          <w:sz w:val="28"/>
          <w:szCs w:val="28"/>
        </w:rPr>
        <w:t>rataeva</w:t>
      </w:r>
      <w:proofErr w:type="spellEnd"/>
      <w:r w:rsidR="00C4301C" w:rsidRPr="00AF549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4301C" w:rsidRPr="00AF5490">
        <w:rPr>
          <w:b/>
          <w:bCs/>
          <w:i/>
          <w:iCs/>
          <w:sz w:val="28"/>
          <w:szCs w:val="28"/>
        </w:rPr>
        <w:t>tapia</w:t>
      </w:r>
      <w:proofErr w:type="spellEnd"/>
      <w:r w:rsidR="00C4301C" w:rsidRPr="00AF5490">
        <w:rPr>
          <w:b/>
          <w:bCs/>
          <w:i/>
          <w:iCs/>
          <w:caps/>
          <w:sz w:val="28"/>
          <w:szCs w:val="28"/>
        </w:rPr>
        <w:t xml:space="preserve"> </w:t>
      </w:r>
      <w:r w:rsidR="00C4301C" w:rsidRPr="00AF5490">
        <w:rPr>
          <w:b/>
          <w:bCs/>
          <w:iCs/>
          <w:caps/>
          <w:sz w:val="28"/>
          <w:szCs w:val="28"/>
        </w:rPr>
        <w:t>L</w:t>
      </w:r>
      <w:r w:rsidR="00C4301C" w:rsidRPr="00AF5490">
        <w:rPr>
          <w:b/>
          <w:bCs/>
          <w:i/>
          <w:iCs/>
          <w:caps/>
          <w:sz w:val="28"/>
          <w:szCs w:val="28"/>
        </w:rPr>
        <w:t>.</w:t>
      </w:r>
    </w:p>
    <w:p w14:paraId="053FF6F8" w14:textId="64C5B95F" w:rsidR="00AF5490" w:rsidRPr="00345097" w:rsidRDefault="00AF5490" w:rsidP="0083570E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F5490">
        <w:rPr>
          <w:rFonts w:ascii="Times New Roman" w:hAnsi="Times New Roman" w:cs="Times New Roman"/>
          <w:b/>
          <w:sz w:val="24"/>
          <w:szCs w:val="24"/>
        </w:rPr>
        <w:t>Maria Eugênia Vieira Xavier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(1</w:t>
      </w:r>
      <w:r w:rsidRPr="0083570E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  <w:r w:rsidRPr="0083570E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="0083570E" w:rsidRPr="0083570E">
        <w:rPr>
          <w:rFonts w:ascii="Times New Roman" w:hAnsi="Times New Roman" w:cs="Times New Roman"/>
          <w:b/>
          <w:sz w:val="24"/>
          <w:szCs w:val="24"/>
        </w:rPr>
        <w:t>Deysiane</w:t>
      </w:r>
      <w:proofErr w:type="spellEnd"/>
      <w:r w:rsidR="0083570E" w:rsidRPr="00835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570E" w:rsidRPr="0083570E">
        <w:rPr>
          <w:rFonts w:ascii="Times New Roman" w:hAnsi="Times New Roman" w:cs="Times New Roman"/>
          <w:b/>
          <w:sz w:val="24"/>
          <w:szCs w:val="24"/>
        </w:rPr>
        <w:t>Carollyne</w:t>
      </w:r>
      <w:proofErr w:type="spellEnd"/>
      <w:r w:rsidR="0083570E" w:rsidRPr="0083570E">
        <w:rPr>
          <w:rFonts w:ascii="Times New Roman" w:hAnsi="Times New Roman" w:cs="Times New Roman"/>
          <w:b/>
          <w:sz w:val="24"/>
          <w:szCs w:val="24"/>
        </w:rPr>
        <w:t xml:space="preserve"> Gonçalves da Silva</w:t>
      </w:r>
      <w:r w:rsidR="0083570E">
        <w:rPr>
          <w:rFonts w:ascii="Times New Roman" w:hAnsi="Times New Roman" w:cs="Times New Roman"/>
          <w:b/>
          <w:sz w:val="24"/>
          <w:szCs w:val="24"/>
          <w:vertAlign w:val="superscript"/>
        </w:rPr>
        <w:t>(2)</w:t>
      </w:r>
      <w:r w:rsidR="0083570E" w:rsidRPr="0083570E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="0083570E" w:rsidRPr="0083570E">
        <w:rPr>
          <w:rFonts w:ascii="Times New Roman" w:hAnsi="Times New Roman" w:cs="Times New Roman"/>
          <w:b/>
          <w:sz w:val="24"/>
          <w:szCs w:val="24"/>
        </w:rPr>
        <w:t>Erijane</w:t>
      </w:r>
      <w:proofErr w:type="spellEnd"/>
      <w:r w:rsidR="0083570E" w:rsidRPr="0083570E">
        <w:rPr>
          <w:rFonts w:ascii="Times New Roman" w:hAnsi="Times New Roman" w:cs="Times New Roman"/>
          <w:b/>
          <w:sz w:val="24"/>
          <w:szCs w:val="24"/>
        </w:rPr>
        <w:t xml:space="preserve"> da Silva Macedo</w:t>
      </w:r>
      <w:r w:rsidR="0083570E">
        <w:rPr>
          <w:rFonts w:ascii="Times New Roman" w:hAnsi="Times New Roman" w:cs="Times New Roman"/>
          <w:b/>
          <w:sz w:val="24"/>
          <w:szCs w:val="24"/>
          <w:vertAlign w:val="superscript"/>
        </w:rPr>
        <w:t>(3)</w:t>
      </w:r>
      <w:r w:rsidR="0083570E" w:rsidRPr="0083570E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83570E">
        <w:rPr>
          <w:rFonts w:ascii="Times New Roman" w:hAnsi="Times New Roman" w:cs="Times New Roman"/>
          <w:b/>
          <w:sz w:val="24"/>
          <w:szCs w:val="24"/>
        </w:rPr>
        <w:t xml:space="preserve">Mayara Andrade </w:t>
      </w:r>
      <w:r w:rsidR="0083570E" w:rsidRPr="0083570E">
        <w:rPr>
          <w:rFonts w:ascii="Times New Roman" w:hAnsi="Times New Roman" w:cs="Times New Roman"/>
          <w:b/>
          <w:sz w:val="24"/>
          <w:szCs w:val="24"/>
        </w:rPr>
        <w:t xml:space="preserve">Souza </w:t>
      </w:r>
      <w:r w:rsidR="0083570E">
        <w:rPr>
          <w:rFonts w:ascii="Times New Roman" w:hAnsi="Times New Roman" w:cs="Times New Roman"/>
          <w:b/>
          <w:sz w:val="24"/>
          <w:szCs w:val="24"/>
          <w:vertAlign w:val="superscript"/>
        </w:rPr>
        <w:t>(4</w:t>
      </w:r>
      <w:r w:rsidR="0083570E" w:rsidRPr="0083570E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  <w:r w:rsidRPr="0083570E">
        <w:rPr>
          <w:rFonts w:ascii="Times New Roman" w:hAnsi="Times New Roman" w:cs="Times New Roman"/>
          <w:b/>
          <w:sz w:val="24"/>
          <w:szCs w:val="24"/>
        </w:rPr>
        <w:t>;</w:t>
      </w:r>
      <w:r w:rsidR="00345097" w:rsidRPr="0083570E">
        <w:rPr>
          <w:rFonts w:ascii="Times New Roman" w:hAnsi="Times New Roman" w:cs="Times New Roman"/>
          <w:b/>
          <w:sz w:val="24"/>
          <w:szCs w:val="24"/>
        </w:rPr>
        <w:t xml:space="preserve"> Aldenir</w:t>
      </w:r>
      <w:r w:rsidR="00345097">
        <w:rPr>
          <w:rFonts w:ascii="Times New Roman" w:hAnsi="Times New Roman" w:cs="Times New Roman"/>
          <w:b/>
          <w:sz w:val="24"/>
          <w:szCs w:val="24"/>
        </w:rPr>
        <w:t xml:space="preserve"> Feitosa dos Santos</w:t>
      </w:r>
      <w:r w:rsidR="0034509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(</w:t>
      </w:r>
      <w:r w:rsidR="0083570E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345097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  <w:r w:rsidR="00345097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83570E">
        <w:rPr>
          <w:rFonts w:ascii="Times New Roman" w:hAnsi="Times New Roman" w:cs="Times New Roman"/>
          <w:b/>
          <w:sz w:val="24"/>
          <w:szCs w:val="24"/>
        </w:rPr>
        <w:t xml:space="preserve">João Gomes da Costa </w:t>
      </w:r>
      <w:r w:rsidR="0083570E">
        <w:rPr>
          <w:rFonts w:ascii="Times New Roman" w:hAnsi="Times New Roman" w:cs="Times New Roman"/>
          <w:b/>
          <w:sz w:val="24"/>
          <w:szCs w:val="24"/>
          <w:vertAlign w:val="superscript"/>
        </w:rPr>
        <w:t>(6</w:t>
      </w:r>
      <w:r w:rsidR="0083570E" w:rsidRPr="00AF5490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</w:p>
    <w:p w14:paraId="428E3C9C" w14:textId="1F8CCCD1" w:rsidR="00C4301C" w:rsidRPr="00BD402B" w:rsidRDefault="007C1B66" w:rsidP="007C1B6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C1B6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(1)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AF5490" w:rsidRPr="00AF549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Estudante; Universidade Federal de Alagoas; Maceió, Alagoas; </w:t>
      </w:r>
      <w:r w:rsidR="00BD402B">
        <w:rPr>
          <w:rFonts w:ascii="Times New Roman" w:eastAsia="Times New Roman" w:hAnsi="Times New Roman" w:cs="Times New Roman"/>
          <w:sz w:val="20"/>
          <w:szCs w:val="20"/>
          <w:lang w:eastAsia="pt-BR"/>
        </w:rPr>
        <w:t>mariaeugeniavx@gmail.com</w:t>
      </w:r>
      <w:r w:rsidR="00AF5490" w:rsidRPr="00AF5490">
        <w:rPr>
          <w:rFonts w:ascii="Times New Roman" w:eastAsia="Times New Roman" w:hAnsi="Times New Roman" w:cs="Times New Roman"/>
          <w:sz w:val="20"/>
          <w:szCs w:val="20"/>
          <w:lang w:eastAsia="pt-BR"/>
        </w:rPr>
        <w:t>;</w:t>
      </w:r>
      <w:r w:rsidR="00AF5490" w:rsidRPr="0083570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 xml:space="preserve"> </w:t>
      </w:r>
      <w:r w:rsidR="0083570E" w:rsidRPr="0083570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(2)</w:t>
      </w:r>
      <w:r w:rsidR="0083570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83570E" w:rsidRPr="0083570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Estudante; Universidade Estadual de Alagoas; Arapiraca, Alagoas; deysiane.goncalves@outlook.com; </w:t>
      </w:r>
      <w:r w:rsidR="0083570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(3)</w:t>
      </w:r>
      <w:r w:rsidR="0083570E" w:rsidRPr="0083570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Estudante; Universidade Estadual de Alagoas; eryjannemacedoo@gmail.com; </w:t>
      </w:r>
      <w:r w:rsidR="0083570E" w:rsidRPr="00BD402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(4)</w:t>
      </w:r>
      <w:r w:rsidR="0083570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 xml:space="preserve"> </w:t>
      </w:r>
      <w:r w:rsidR="0083570E" w:rsidRPr="00AF5490">
        <w:rPr>
          <w:rFonts w:ascii="Times New Roman" w:eastAsia="Times New Roman" w:hAnsi="Times New Roman" w:cs="Times New Roman"/>
          <w:sz w:val="20"/>
          <w:szCs w:val="20"/>
          <w:lang w:eastAsia="pt-BR"/>
        </w:rPr>
        <w:t>Professor</w:t>
      </w:r>
      <w:r w:rsidR="0083570E">
        <w:rPr>
          <w:rFonts w:ascii="Times New Roman" w:eastAsia="Times New Roman" w:hAnsi="Times New Roman" w:cs="Times New Roman"/>
          <w:sz w:val="20"/>
          <w:szCs w:val="20"/>
          <w:lang w:eastAsia="pt-BR"/>
        </w:rPr>
        <w:t>a</w:t>
      </w:r>
      <w:r w:rsidR="0083570E" w:rsidRPr="00AF549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83570E">
        <w:rPr>
          <w:rFonts w:ascii="Times New Roman" w:eastAsia="Times New Roman" w:hAnsi="Times New Roman" w:cs="Times New Roman"/>
          <w:sz w:val="20"/>
          <w:szCs w:val="20"/>
          <w:lang w:eastAsia="pt-BR"/>
        </w:rPr>
        <w:t>da</w:t>
      </w:r>
      <w:r w:rsidR="0083570E" w:rsidRPr="00AF549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Pós-graduação em Sistema de Análise Ambiental; Maceió; Alagoas;</w:t>
      </w:r>
      <w:r w:rsidR="0083570E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 </w:t>
      </w:r>
      <w:hyperlink r:id="rId8" w:history="1">
        <w:r w:rsidR="0083570E" w:rsidRPr="00BD402B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eastAsia="pt-BR"/>
          </w:rPr>
          <w:t>mayarandrade@hotmail.com</w:t>
        </w:r>
      </w:hyperlink>
      <w:r w:rsidR="0083570E" w:rsidRPr="00AF5490">
        <w:rPr>
          <w:rFonts w:ascii="Times New Roman" w:eastAsia="Times New Roman" w:hAnsi="Times New Roman" w:cs="Times New Roman"/>
          <w:sz w:val="20"/>
          <w:szCs w:val="20"/>
          <w:lang w:eastAsia="pt-BR"/>
        </w:rPr>
        <w:t>;</w:t>
      </w:r>
      <w:r w:rsidR="0083570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83570E" w:rsidRPr="0083570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(</w:t>
      </w:r>
      <w:r w:rsidR="0083570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5</w:t>
      </w:r>
      <w:r w:rsidR="0083570E" w:rsidRPr="0083570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)</w:t>
      </w:r>
      <w:r w:rsidR="0083570E" w:rsidRPr="0083570E"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  <w:t>Docente e pesquisadora da Universidade Estadual de Alagoas e membro do Programa de Pós-graduação em Análise de Sistemas Ambientais pelo Centro Universitário Cesmac</w:t>
      </w:r>
      <w:r w:rsidR="0083570E">
        <w:rPr>
          <w:rFonts w:ascii="Times New Roman" w:eastAsia="Times New Roman" w:hAnsi="Times New Roman" w:cs="Times New Roman"/>
          <w:sz w:val="20"/>
          <w:szCs w:val="20"/>
          <w:lang w:eastAsia="pt-BR"/>
        </w:rPr>
        <w:t>;</w:t>
      </w:r>
      <w:r w:rsidR="0083570E" w:rsidRPr="0083570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Maceió</w:t>
      </w:r>
      <w:r w:rsidR="0083570E">
        <w:rPr>
          <w:rFonts w:ascii="Times New Roman" w:eastAsia="Times New Roman" w:hAnsi="Times New Roman" w:cs="Times New Roman"/>
          <w:sz w:val="20"/>
          <w:szCs w:val="20"/>
          <w:lang w:eastAsia="pt-BR"/>
        </w:rPr>
        <w:t>; Alagoas;</w:t>
      </w:r>
      <w:r w:rsidR="0083570E" w:rsidRPr="0083570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aldenirfeitosa@gmail.com </w:t>
      </w:r>
      <w:r w:rsidR="00AF5490" w:rsidRPr="00AF549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(</w:t>
      </w:r>
      <w:r w:rsidR="0083570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6</w:t>
      </w:r>
      <w:r w:rsidR="00AF5490" w:rsidRPr="00AF549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)</w:t>
      </w:r>
      <w:r w:rsidR="00BD402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 xml:space="preserve"> </w:t>
      </w:r>
      <w:r w:rsidR="00AF5490" w:rsidRPr="00AF549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Professor </w:t>
      </w:r>
      <w:r w:rsidR="00345097">
        <w:rPr>
          <w:rFonts w:ascii="Times New Roman" w:eastAsia="Times New Roman" w:hAnsi="Times New Roman" w:cs="Times New Roman"/>
          <w:sz w:val="20"/>
          <w:szCs w:val="20"/>
          <w:lang w:eastAsia="pt-BR"/>
        </w:rPr>
        <w:t>da</w:t>
      </w:r>
      <w:r w:rsidR="00AF5490" w:rsidRPr="00AF549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AF5490" w:rsidRPr="00BD402B">
        <w:rPr>
          <w:rFonts w:ascii="Times New Roman" w:eastAsia="Times New Roman" w:hAnsi="Times New Roman" w:cs="Times New Roman"/>
          <w:sz w:val="20"/>
          <w:szCs w:val="20"/>
          <w:lang w:eastAsia="pt-BR"/>
        </w:rPr>
        <w:t>Pós-graduação em Sistema de Análise Ambiental; Maceió; Alagoas;</w:t>
      </w:r>
      <w:r w:rsidR="00BD402B" w:rsidRPr="00BD402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joo.gomesdacosta@gmail.com</w:t>
      </w:r>
    </w:p>
    <w:p w14:paraId="65B81340" w14:textId="77777777" w:rsidR="00C4301C" w:rsidRDefault="00C4301C" w:rsidP="00D779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1C76247" w14:textId="77777777" w:rsidR="00E33341" w:rsidRPr="00E66785" w:rsidRDefault="00D779F2" w:rsidP="00E66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E58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  <w:r w:rsidR="00AF549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: </w:t>
      </w:r>
      <w:r w:rsidR="00E33341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Pesquisas que visam à substituição dos antioxidantes comerciais bem como os herbicidas artificiais, através da aplicação de substâncias naturais vegetais, vêm ganhando espaço em estudos acadêmicos e no desenvolvimento de novos produtos. Assim, o presente trabalho teve como objetivo avaliar o potencial antioxidante e </w:t>
      </w:r>
      <w:proofErr w:type="spellStart"/>
      <w:r w:rsidR="00E33341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>alelopático</w:t>
      </w:r>
      <w:proofErr w:type="spellEnd"/>
      <w:r w:rsidR="00E33341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</w:t>
      </w:r>
      <w:proofErr w:type="spellStart"/>
      <w:r w:rsidR="00E33341" w:rsidRPr="00E66785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Crataeva</w:t>
      </w:r>
      <w:proofErr w:type="spellEnd"/>
      <w:r w:rsidR="00E33341" w:rsidRPr="00E66785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 </w:t>
      </w:r>
      <w:proofErr w:type="spellStart"/>
      <w:r w:rsidR="00E33341" w:rsidRPr="00E66785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tapia</w:t>
      </w:r>
      <w:proofErr w:type="spellEnd"/>
      <w:r w:rsidR="00E33341" w:rsidRPr="00E66785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 </w:t>
      </w:r>
      <w:r w:rsidR="00E33341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L. Para alcançar esse objetivo foram coletadas folhas </w:t>
      </w:r>
      <w:r w:rsidR="00E33341" w:rsidRPr="00E66785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C. </w:t>
      </w:r>
      <w:proofErr w:type="spellStart"/>
      <w:r w:rsidR="00E33341" w:rsidRPr="00E66785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tapia</w:t>
      </w:r>
      <w:proofErr w:type="spellEnd"/>
      <w:r w:rsidR="00E33341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para obtenção do extrato e posterior</w:t>
      </w:r>
      <w:r w:rsidR="00BE785F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>es</w:t>
      </w:r>
      <w:r w:rsidR="00E33341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determinaç</w:t>
      </w:r>
      <w:r w:rsidR="00BE785F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ões: </w:t>
      </w:r>
      <w:r w:rsidR="00E33341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atividade antioxidante através do método DPPH (2,2- difenil-1-picril-hidrazila - DPPH•), teor de fenóis totais no extrato </w:t>
      </w:r>
      <w:proofErr w:type="spellStart"/>
      <w:r w:rsidR="00E33341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>etanólico</w:t>
      </w:r>
      <w:proofErr w:type="spellEnd"/>
      <w:r w:rsidR="00E33341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</w:t>
      </w:r>
      <w:r w:rsidR="00BE785F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>pelo</w:t>
      </w:r>
      <w:r w:rsidR="00E33341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método de </w:t>
      </w:r>
      <w:proofErr w:type="spellStart"/>
      <w:r w:rsidR="00E33341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>Folin-Ciocalteu</w:t>
      </w:r>
      <w:proofErr w:type="spellEnd"/>
      <w:r w:rsidR="00E33341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e a atividade </w:t>
      </w:r>
      <w:proofErr w:type="spellStart"/>
      <w:r w:rsidR="00E33341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>alelopática</w:t>
      </w:r>
      <w:proofErr w:type="spellEnd"/>
      <w:r w:rsidR="00E33341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dos diferentes extratos em relação a germinação de sementes de alface. Os resultados obtidos com o extrato </w:t>
      </w:r>
      <w:proofErr w:type="spellStart"/>
      <w:r w:rsidR="00E33341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>etanólico</w:t>
      </w:r>
      <w:proofErr w:type="spellEnd"/>
      <w:r w:rsidR="00E33341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das folhas de </w:t>
      </w:r>
      <w:r w:rsidR="00E33341" w:rsidRPr="00E66785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C. </w:t>
      </w:r>
      <w:proofErr w:type="spellStart"/>
      <w:r w:rsidR="00E33341" w:rsidRPr="00E66785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tapia</w:t>
      </w:r>
      <w:proofErr w:type="spellEnd"/>
      <w:r w:rsidR="00E33341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apresentaram uma eficiente atividade antioxidante mediante o teste de DPPH, além de demonstrar um resultado significativo de teor de compostos fenólicos e teor de </w:t>
      </w:r>
      <w:proofErr w:type="spellStart"/>
      <w:r w:rsidR="00E33341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>flavonóides</w:t>
      </w:r>
      <w:proofErr w:type="spellEnd"/>
      <w:r w:rsidR="00E33341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totais, podendo ser utilizada como provável fonte de compostos antioxidantes naturais na indústria alimentícia e farmacêutica. A espécie </w:t>
      </w:r>
      <w:r w:rsidR="00E33341" w:rsidRPr="00E66785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C. </w:t>
      </w:r>
      <w:proofErr w:type="spellStart"/>
      <w:r w:rsidR="00E33341" w:rsidRPr="00E66785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tapia</w:t>
      </w:r>
      <w:proofErr w:type="spellEnd"/>
      <w:r w:rsidR="00E33341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apresenta muitos compostos, principalmente flavonoides, classe de polifenóis conhecida por sua capacidade de inibir a formação de radicais livres. O extrato das folhas da espécie apresentou forte atividade </w:t>
      </w:r>
      <w:proofErr w:type="spellStart"/>
      <w:r w:rsidR="00E33341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>alelopática</w:t>
      </w:r>
      <w:proofErr w:type="spellEnd"/>
      <w:r w:rsidR="00E33341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evidenciando potencial para exploração futura como fonte de herbicida natural.</w:t>
      </w:r>
    </w:p>
    <w:p w14:paraId="39122A71" w14:textId="77777777" w:rsidR="00E33341" w:rsidRPr="0006347E" w:rsidRDefault="00E33341" w:rsidP="00E33341">
      <w:pPr>
        <w:pStyle w:val="Default"/>
        <w:jc w:val="both"/>
        <w:rPr>
          <w:b/>
        </w:rPr>
      </w:pPr>
    </w:p>
    <w:p w14:paraId="08F2F311" w14:textId="77777777" w:rsidR="00E33341" w:rsidRDefault="00E66785" w:rsidP="00E33341">
      <w:pPr>
        <w:pStyle w:val="Default"/>
        <w:jc w:val="both"/>
      </w:pPr>
      <w:r w:rsidRPr="0006347E">
        <w:rPr>
          <w:b/>
        </w:rPr>
        <w:t xml:space="preserve">PALAVRAS-CHAVE: </w:t>
      </w:r>
      <w:r w:rsidR="00E33341" w:rsidRPr="00A07D8C">
        <w:rPr>
          <w:sz w:val="20"/>
          <w:szCs w:val="20"/>
        </w:rPr>
        <w:t>Compostos fen</w:t>
      </w:r>
      <w:r w:rsidRPr="00A07D8C">
        <w:rPr>
          <w:sz w:val="20"/>
          <w:szCs w:val="20"/>
        </w:rPr>
        <w:t>ólicos;</w:t>
      </w:r>
      <w:r w:rsidR="00BE785F" w:rsidRPr="00A07D8C">
        <w:rPr>
          <w:sz w:val="20"/>
          <w:szCs w:val="20"/>
        </w:rPr>
        <w:t xml:space="preserve"> Metab</w:t>
      </w:r>
      <w:r w:rsidRPr="00A07D8C">
        <w:rPr>
          <w:sz w:val="20"/>
          <w:szCs w:val="20"/>
        </w:rPr>
        <w:t>ólitos secundários;</w:t>
      </w:r>
      <w:r w:rsidR="00BE785F" w:rsidRPr="00A07D8C">
        <w:rPr>
          <w:sz w:val="20"/>
          <w:szCs w:val="20"/>
        </w:rPr>
        <w:t xml:space="preserve"> Aleloquímicos</w:t>
      </w:r>
    </w:p>
    <w:p w14:paraId="6456E4A8" w14:textId="77777777" w:rsidR="00D779F2" w:rsidRPr="0006347E" w:rsidRDefault="00D779F2" w:rsidP="00D779F2">
      <w:pPr>
        <w:pStyle w:val="Default"/>
        <w:jc w:val="both"/>
        <w:rPr>
          <w:b/>
        </w:rPr>
      </w:pPr>
    </w:p>
    <w:p w14:paraId="4838F301" w14:textId="77777777" w:rsidR="00B71C5C" w:rsidRPr="006E2D57" w:rsidRDefault="00AB352B" w:rsidP="00B71C5C">
      <w:pPr>
        <w:jc w:val="both"/>
        <w:rPr>
          <w:rFonts w:ascii="Times New Roman" w:hAnsi="Times New Roman" w:cs="Times New Roman"/>
          <w:sz w:val="20"/>
          <w:szCs w:val="20"/>
        </w:rPr>
      </w:pPr>
      <w:r w:rsidRPr="00AB352B">
        <w:rPr>
          <w:rFonts w:ascii="Times New Roman" w:hAnsi="Times New Roman" w:cs="Times New Roman"/>
          <w:b/>
        </w:rPr>
        <w:t>ABSTRACT:</w:t>
      </w:r>
      <w:r w:rsidR="00A07D8C">
        <w:rPr>
          <w:rFonts w:ascii="Times New Roman" w:hAnsi="Times New Roman" w:cs="Times New Roman"/>
          <w:b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aims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replace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commercial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antioxidants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well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as</w:t>
      </w:r>
      <w:r w:rsidR="00B71C5C">
        <w:rPr>
          <w:rFonts w:ascii="Times New Roman" w:hAnsi="Times New Roman" w:cs="Times New Roman"/>
          <w:sz w:val="20"/>
          <w:szCs w:val="20"/>
        </w:rPr>
        <w:t xml:space="preserve"> </w:t>
      </w:r>
      <w:r w:rsidR="00B71C5C" w:rsidRPr="006E2D57">
        <w:rPr>
          <w:rFonts w:ascii="Times New Roman" w:hAnsi="Times New Roman" w:cs="Times New Roman"/>
          <w:sz w:val="20"/>
          <w:szCs w:val="20"/>
        </w:rPr>
        <w:t xml:space="preserve">artificiais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herbicides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through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application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natural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plant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substances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has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gaining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ground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academic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development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new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products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Thus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had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objective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evaluate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antioxidant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allelopathic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potential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i/>
          <w:sz w:val="20"/>
          <w:szCs w:val="20"/>
        </w:rPr>
        <w:t>Crataeva</w:t>
      </w:r>
      <w:proofErr w:type="spellEnd"/>
      <w:r w:rsidR="00B71C5C" w:rsidRPr="006E2D5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i/>
          <w:sz w:val="20"/>
          <w:szCs w:val="20"/>
        </w:rPr>
        <w:t>tapia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L. In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order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reach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objective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, </w:t>
      </w:r>
      <w:r w:rsidR="00B71C5C" w:rsidRPr="006E2D57">
        <w:rPr>
          <w:rFonts w:ascii="Times New Roman" w:hAnsi="Times New Roman" w:cs="Times New Roman"/>
          <w:i/>
          <w:sz w:val="20"/>
          <w:szCs w:val="20"/>
        </w:rPr>
        <w:t xml:space="preserve">C. </w:t>
      </w:r>
      <w:proofErr w:type="spellStart"/>
      <w:r w:rsidR="00B71C5C" w:rsidRPr="006E2D57">
        <w:rPr>
          <w:rFonts w:ascii="Times New Roman" w:hAnsi="Times New Roman" w:cs="Times New Roman"/>
          <w:i/>
          <w:sz w:val="20"/>
          <w:szCs w:val="20"/>
        </w:rPr>
        <w:t>tapia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leaves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collected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obtain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extract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subsequent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determinations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antioxidant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activity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through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DPPH (2,2-diphenyl-1-picryl-hydrazila - DPPH •)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method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, total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phenols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content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e</w:t>
      </w:r>
      <w:bookmarkStart w:id="0" w:name="_GoBack"/>
      <w:bookmarkEnd w:id="0"/>
      <w:r w:rsidR="00B71C5C" w:rsidRPr="006E2D57">
        <w:rPr>
          <w:rFonts w:ascii="Times New Roman" w:hAnsi="Times New Roman" w:cs="Times New Roman"/>
          <w:sz w:val="20"/>
          <w:szCs w:val="20"/>
        </w:rPr>
        <w:t>thanolic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extract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hair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Folin-Ciocalteu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method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allelopathic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activity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different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extracts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relation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germination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lettuce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seeds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results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obtained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ethanolic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extract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leaves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C.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tapia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showed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efficient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antioxidant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activity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through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DPPH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test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besides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demonstrating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result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phenolic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compounds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content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total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flavonoid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content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being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able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as a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probable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source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antioxidant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compounds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food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pharmaceutical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industry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species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r w:rsidR="00B71C5C" w:rsidRPr="006E2D57">
        <w:rPr>
          <w:rFonts w:ascii="Times New Roman" w:hAnsi="Times New Roman" w:cs="Times New Roman"/>
          <w:i/>
          <w:sz w:val="20"/>
          <w:szCs w:val="20"/>
        </w:rPr>
        <w:t xml:space="preserve">C. </w:t>
      </w:r>
      <w:proofErr w:type="spellStart"/>
      <w:r w:rsidR="00B71C5C" w:rsidRPr="006E2D57">
        <w:rPr>
          <w:rFonts w:ascii="Times New Roman" w:hAnsi="Times New Roman" w:cs="Times New Roman"/>
          <w:i/>
          <w:sz w:val="20"/>
          <w:szCs w:val="20"/>
        </w:rPr>
        <w:t>tapia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presents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many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compounds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mainly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flavonoids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class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polyphenols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known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for its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ability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inhibit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formation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free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radicals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extract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leaves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species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presented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strong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allelopathic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activity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evidencing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potential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for future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exploration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source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 xml:space="preserve"> natural </w:t>
      </w:r>
      <w:proofErr w:type="spellStart"/>
      <w:r w:rsidR="00B71C5C" w:rsidRPr="006E2D57">
        <w:rPr>
          <w:rFonts w:ascii="Times New Roman" w:hAnsi="Times New Roman" w:cs="Times New Roman"/>
          <w:sz w:val="20"/>
          <w:szCs w:val="20"/>
        </w:rPr>
        <w:t>herbicide</w:t>
      </w:r>
      <w:proofErr w:type="spellEnd"/>
      <w:r w:rsidR="00B71C5C" w:rsidRPr="006E2D57">
        <w:rPr>
          <w:rFonts w:ascii="Times New Roman" w:hAnsi="Times New Roman" w:cs="Times New Roman"/>
          <w:sz w:val="20"/>
          <w:szCs w:val="20"/>
        </w:rPr>
        <w:t>.</w:t>
      </w:r>
    </w:p>
    <w:p w14:paraId="748EF1A5" w14:textId="04AEFD52" w:rsidR="00D779F2" w:rsidRPr="00AB352B" w:rsidRDefault="00D779F2" w:rsidP="00A07D8C">
      <w:pPr>
        <w:jc w:val="both"/>
        <w:rPr>
          <w:rFonts w:ascii="Times New Roman" w:hAnsi="Times New Roman" w:cs="Times New Roman"/>
          <w:b/>
        </w:rPr>
      </w:pPr>
    </w:p>
    <w:p w14:paraId="2AD9475F" w14:textId="77777777" w:rsidR="004B48EC" w:rsidRDefault="004B48EC" w:rsidP="00D779F2"/>
    <w:p w14:paraId="293A61DE" w14:textId="00EF91B0" w:rsidR="00A07D8C" w:rsidRPr="00A07D8C" w:rsidRDefault="00A07D8C" w:rsidP="00A07D8C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623C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KEY-WORD</w:t>
      </w:r>
      <w:r w:rsidRPr="00623CF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r w:rsidRPr="00A07D8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phenolics compounds; secondary metabolites; allelochemicals.</w:t>
      </w:r>
    </w:p>
    <w:p w14:paraId="3FC94BE7" w14:textId="77777777" w:rsidR="00A07D8C" w:rsidRPr="00461471" w:rsidRDefault="00A07D8C" w:rsidP="00A07D8C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6C93C7DF" w14:textId="77777777" w:rsidR="004B48EC" w:rsidRDefault="004B48EC" w:rsidP="00D779F2"/>
    <w:p w14:paraId="02E1F23D" w14:textId="4A2FE4D2" w:rsidR="00D779F2" w:rsidRPr="00C645FD" w:rsidRDefault="00B42081" w:rsidP="00BE785F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</w:t>
      </w:r>
      <w:r w:rsidR="00D779F2" w:rsidRPr="00C645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INTRODUÇÃO </w:t>
      </w:r>
    </w:p>
    <w:p w14:paraId="3116D08C" w14:textId="77777777" w:rsidR="00D779F2" w:rsidRPr="00C645FD" w:rsidRDefault="00D779F2" w:rsidP="00D779F2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</w:rPr>
      </w:pPr>
    </w:p>
    <w:p w14:paraId="534B6227" w14:textId="6C6892FA" w:rsidR="006D0606" w:rsidRPr="00E66785" w:rsidRDefault="00D779F2" w:rsidP="00E667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66785">
        <w:rPr>
          <w:rFonts w:ascii="Times New Roman" w:eastAsia="Calibri" w:hAnsi="Times New Roman" w:cs="Times New Roman"/>
          <w:sz w:val="20"/>
          <w:szCs w:val="20"/>
        </w:rPr>
        <w:t xml:space="preserve">A </w:t>
      </w:r>
      <w:proofErr w:type="spellStart"/>
      <w:r w:rsidRPr="00E66785">
        <w:rPr>
          <w:rFonts w:ascii="Times New Roman" w:eastAsia="Calibri" w:hAnsi="Times New Roman" w:cs="Times New Roman"/>
          <w:sz w:val="20"/>
          <w:szCs w:val="20"/>
        </w:rPr>
        <w:t>alelopatia</w:t>
      </w:r>
      <w:proofErr w:type="spellEnd"/>
      <w:r w:rsidRPr="00E66785">
        <w:rPr>
          <w:rFonts w:ascii="Times New Roman" w:eastAsia="Calibri" w:hAnsi="Times New Roman" w:cs="Times New Roman"/>
          <w:sz w:val="20"/>
          <w:szCs w:val="20"/>
        </w:rPr>
        <w:t xml:space="preserve"> é usualmente definida como qualquer processo envolvendo metabólitos secundários produzidos por plantas e/ou microrganismos que, uma vez liberados no ambiente, influenciam o desenvolvimento de sistemas biológicos. </w:t>
      </w:r>
    </w:p>
    <w:p w14:paraId="0E01541A" w14:textId="77777777" w:rsidR="000F5C52" w:rsidRPr="00E66785" w:rsidRDefault="000F5C52" w:rsidP="00E667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66785">
        <w:rPr>
          <w:rFonts w:ascii="Times New Roman" w:eastAsia="Calibri" w:hAnsi="Times New Roman" w:cs="Times New Roman"/>
          <w:sz w:val="20"/>
          <w:szCs w:val="20"/>
        </w:rPr>
        <w:t xml:space="preserve">Dentre os metabólitos secundários, a classe dos compostos fenólicos, em especial os </w:t>
      </w:r>
      <w:proofErr w:type="spellStart"/>
      <w:r w:rsidRPr="00E66785">
        <w:rPr>
          <w:rFonts w:ascii="Times New Roman" w:eastAsia="Calibri" w:hAnsi="Times New Roman" w:cs="Times New Roman"/>
          <w:sz w:val="20"/>
          <w:szCs w:val="20"/>
        </w:rPr>
        <w:t>flavonóides</w:t>
      </w:r>
      <w:proofErr w:type="spellEnd"/>
      <w:r w:rsidRPr="00E66785">
        <w:rPr>
          <w:rFonts w:ascii="Times New Roman" w:eastAsia="Calibri" w:hAnsi="Times New Roman" w:cs="Times New Roman"/>
          <w:sz w:val="20"/>
          <w:szCs w:val="20"/>
        </w:rPr>
        <w:t xml:space="preserve">, é reconhecida pela sua atividade antioxidante devido suas propriedades de óxido-redução, incluindo o sequestro e neutralização dos radicais livres, assim como, atividade quelante de oxigênio tripleto e singleto, ou decompositora de peróxidos (HAMINIUK et al., 2012). Outros compostos como vitaminas (C, E </w:t>
      </w:r>
      <w:proofErr w:type="spellStart"/>
      <w:r w:rsidRPr="00E66785">
        <w:rPr>
          <w:rFonts w:ascii="Times New Roman" w:eastAsia="Calibri" w:hAnsi="Times New Roman" w:cs="Times New Roman"/>
          <w:sz w:val="20"/>
          <w:szCs w:val="20"/>
        </w:rPr>
        <w:t>e</w:t>
      </w:r>
      <w:proofErr w:type="spellEnd"/>
      <w:r w:rsidRPr="00E66785">
        <w:rPr>
          <w:rFonts w:ascii="Times New Roman" w:eastAsia="Calibri" w:hAnsi="Times New Roman" w:cs="Times New Roman"/>
          <w:sz w:val="20"/>
          <w:szCs w:val="20"/>
        </w:rPr>
        <w:t xml:space="preserve"> A), </w:t>
      </w:r>
      <w:proofErr w:type="spellStart"/>
      <w:r w:rsidRPr="00E66785">
        <w:rPr>
          <w:rFonts w:ascii="Times New Roman" w:eastAsia="Calibri" w:hAnsi="Times New Roman" w:cs="Times New Roman"/>
          <w:sz w:val="20"/>
          <w:szCs w:val="20"/>
        </w:rPr>
        <w:t>carotenóides</w:t>
      </w:r>
      <w:proofErr w:type="spellEnd"/>
      <w:r w:rsidRPr="00E66785">
        <w:rPr>
          <w:rFonts w:ascii="Times New Roman" w:eastAsia="Calibri" w:hAnsi="Times New Roman" w:cs="Times New Roman"/>
          <w:sz w:val="20"/>
          <w:szCs w:val="20"/>
        </w:rPr>
        <w:t xml:space="preserve"> e alguns polifenóis, também são importantes antioxidantes. </w:t>
      </w:r>
    </w:p>
    <w:p w14:paraId="64042C6E" w14:textId="77777777" w:rsidR="000F5C52" w:rsidRPr="00E66785" w:rsidRDefault="000F5C52" w:rsidP="00E667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66785">
        <w:rPr>
          <w:rFonts w:ascii="Times New Roman" w:eastAsia="Calibri" w:hAnsi="Times New Roman" w:cs="Times New Roman"/>
          <w:sz w:val="20"/>
          <w:szCs w:val="20"/>
        </w:rPr>
        <w:t>Diversos estudos têm demonstrado que o consumo de substâncias antioxidantes na dieta pode produzir uma ação protetora contra os danos causados pelos processos oxidativos celulares (SHARMA, 2013). Dessa forma, pesquisas que visam à substituição dos antioxidantes comerciais, através da aplicação de substâncias naturais vegetais, vêm ganhando espaço em estudos acadêmicos (SOUSA et al., 2007), devido o interesse de desenvolvimento de produtos mais eficazes e menos tóxicos à saúde e ao ambiente.</w:t>
      </w:r>
    </w:p>
    <w:p w14:paraId="0F2960A4" w14:textId="43909A5C" w:rsidR="006D0606" w:rsidRPr="00E66785" w:rsidRDefault="006D0606" w:rsidP="00E667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66785">
        <w:rPr>
          <w:rFonts w:ascii="Times New Roman" w:eastAsia="Calibri" w:hAnsi="Times New Roman" w:cs="Times New Roman"/>
          <w:sz w:val="20"/>
          <w:szCs w:val="20"/>
        </w:rPr>
        <w:t xml:space="preserve">Estudos </w:t>
      </w:r>
      <w:proofErr w:type="spellStart"/>
      <w:r w:rsidRPr="00E66785">
        <w:rPr>
          <w:rFonts w:ascii="Times New Roman" w:eastAsia="Calibri" w:hAnsi="Times New Roman" w:cs="Times New Roman"/>
          <w:sz w:val="20"/>
          <w:szCs w:val="20"/>
        </w:rPr>
        <w:t>alelopáticos</w:t>
      </w:r>
      <w:proofErr w:type="spellEnd"/>
      <w:r w:rsidRPr="00E66785">
        <w:rPr>
          <w:rFonts w:ascii="Times New Roman" w:eastAsia="Calibri" w:hAnsi="Times New Roman" w:cs="Times New Roman"/>
          <w:sz w:val="20"/>
          <w:szCs w:val="20"/>
        </w:rPr>
        <w:t>, envolvendo as substâncias químicas liberadas pelas plantas e micro-organismos, podem ser utilizados para o desenvolvimento de novos produtos para o desenvolvimento de herbicidas naturais ou de estimulantes para o crescimento de algumas plantas), auxiliando na prevenção de novos casos de resistência e degradação ambiental.</w:t>
      </w:r>
    </w:p>
    <w:p w14:paraId="416D1D8A" w14:textId="307F0F7E" w:rsidR="006F730B" w:rsidRPr="00E66785" w:rsidRDefault="006D0606" w:rsidP="00E667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66785">
        <w:rPr>
          <w:rFonts w:ascii="Times New Roman" w:eastAsia="Calibri" w:hAnsi="Times New Roman" w:cs="Times New Roman"/>
          <w:sz w:val="20"/>
          <w:szCs w:val="20"/>
        </w:rPr>
        <w:t xml:space="preserve">Na busca de identificar o potencial químico de espécies nativas a comunidade científica, </w:t>
      </w:r>
      <w:r w:rsidR="006F730B" w:rsidRPr="00E66785">
        <w:rPr>
          <w:rFonts w:ascii="Times New Roman" w:eastAsia="Calibri" w:hAnsi="Times New Roman" w:cs="Times New Roman"/>
          <w:sz w:val="20"/>
          <w:szCs w:val="20"/>
        </w:rPr>
        <w:t xml:space="preserve">tem realizado </w:t>
      </w:r>
      <w:r w:rsidRPr="00E66785">
        <w:rPr>
          <w:rFonts w:ascii="Times New Roman" w:eastAsia="Calibri" w:hAnsi="Times New Roman" w:cs="Times New Roman"/>
          <w:sz w:val="20"/>
          <w:szCs w:val="20"/>
        </w:rPr>
        <w:t>pesquisas envo</w:t>
      </w:r>
      <w:r w:rsidR="006F730B" w:rsidRPr="00E66785">
        <w:rPr>
          <w:rFonts w:ascii="Times New Roman" w:eastAsia="Calibri" w:hAnsi="Times New Roman" w:cs="Times New Roman"/>
          <w:sz w:val="20"/>
          <w:szCs w:val="20"/>
        </w:rPr>
        <w:t xml:space="preserve">lvendo atividade </w:t>
      </w:r>
      <w:proofErr w:type="spellStart"/>
      <w:r w:rsidR="006F730B" w:rsidRPr="00E66785">
        <w:rPr>
          <w:rFonts w:ascii="Times New Roman" w:eastAsia="Calibri" w:hAnsi="Times New Roman" w:cs="Times New Roman"/>
          <w:sz w:val="20"/>
          <w:szCs w:val="20"/>
        </w:rPr>
        <w:t>alelopática</w:t>
      </w:r>
      <w:proofErr w:type="spellEnd"/>
      <w:r w:rsidR="006F730B" w:rsidRPr="00E66785">
        <w:rPr>
          <w:rFonts w:ascii="Times New Roman" w:eastAsia="Calibri" w:hAnsi="Times New Roman" w:cs="Times New Roman"/>
          <w:sz w:val="20"/>
          <w:szCs w:val="20"/>
        </w:rPr>
        <w:t xml:space="preserve"> seja como uma estratégia para adaptação defensiva ou ofensiva no estabelecimento de </w:t>
      </w:r>
      <w:r w:rsidR="004B48EC" w:rsidRPr="00E66785">
        <w:rPr>
          <w:rFonts w:ascii="Times New Roman" w:eastAsia="Calibri" w:hAnsi="Times New Roman" w:cs="Times New Roman"/>
          <w:sz w:val="20"/>
          <w:szCs w:val="20"/>
        </w:rPr>
        <w:t>ervas daninhas</w:t>
      </w:r>
      <w:r w:rsidR="006F730B" w:rsidRPr="00E66785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="00251241" w:rsidRPr="00E66785">
        <w:rPr>
          <w:rFonts w:ascii="Times New Roman" w:eastAsia="Calibri" w:hAnsi="Times New Roman" w:cs="Times New Roman"/>
          <w:sz w:val="20"/>
          <w:szCs w:val="20"/>
        </w:rPr>
        <w:t>SILVA e AQUILA, 2006</w:t>
      </w:r>
      <w:r w:rsidR="004B48EC" w:rsidRPr="00E66785">
        <w:rPr>
          <w:rFonts w:ascii="Times New Roman" w:eastAsia="Calibri" w:hAnsi="Times New Roman" w:cs="Times New Roman"/>
          <w:sz w:val="20"/>
          <w:szCs w:val="20"/>
        </w:rPr>
        <w:t>),</w:t>
      </w:r>
      <w:r w:rsidR="006F730B" w:rsidRPr="00E66785">
        <w:rPr>
          <w:rFonts w:ascii="Times New Roman" w:eastAsia="Calibri" w:hAnsi="Times New Roman" w:cs="Times New Roman"/>
          <w:sz w:val="20"/>
          <w:szCs w:val="20"/>
        </w:rPr>
        <w:t xml:space="preserve"> como estratégia adaptativa, por exemplo, as espécies da caatinga (</w:t>
      </w:r>
      <w:r w:rsidR="0041052E" w:rsidRPr="00E66785">
        <w:rPr>
          <w:rFonts w:ascii="Times New Roman" w:eastAsia="Calibri" w:hAnsi="Times New Roman" w:cs="Times New Roman"/>
          <w:sz w:val="20"/>
          <w:szCs w:val="20"/>
        </w:rPr>
        <w:t xml:space="preserve">CASTRO; FABRICANTE e ARAUJO, </w:t>
      </w:r>
      <w:r w:rsidR="004B48EC" w:rsidRPr="00E66785">
        <w:rPr>
          <w:rFonts w:ascii="Times New Roman" w:eastAsia="Calibri" w:hAnsi="Times New Roman" w:cs="Times New Roman"/>
          <w:sz w:val="20"/>
          <w:szCs w:val="20"/>
        </w:rPr>
        <w:t>201</w:t>
      </w:r>
      <w:r w:rsidR="000C0E7A">
        <w:rPr>
          <w:rFonts w:ascii="Times New Roman" w:eastAsia="Calibri" w:hAnsi="Times New Roman" w:cs="Times New Roman"/>
          <w:sz w:val="20"/>
          <w:szCs w:val="20"/>
        </w:rPr>
        <w:t>7</w:t>
      </w:r>
      <w:r w:rsidR="004B48EC" w:rsidRPr="00E66785">
        <w:rPr>
          <w:rFonts w:ascii="Times New Roman" w:eastAsia="Calibri" w:hAnsi="Times New Roman" w:cs="Times New Roman"/>
          <w:sz w:val="20"/>
          <w:szCs w:val="20"/>
        </w:rPr>
        <w:t>) e como alternativa a agroquímicos sintéticos para o manejo sustentável e ecológico da produção agrícola (</w:t>
      </w:r>
      <w:r w:rsidR="0041052E" w:rsidRPr="00E66785">
        <w:rPr>
          <w:rFonts w:ascii="Times New Roman" w:eastAsia="Calibri" w:hAnsi="Times New Roman" w:cs="Times New Roman"/>
          <w:sz w:val="20"/>
          <w:szCs w:val="20"/>
        </w:rPr>
        <w:t>ALVES et al., 2018</w:t>
      </w:r>
      <w:r w:rsidR="00251241" w:rsidRPr="00E66785">
        <w:rPr>
          <w:rFonts w:ascii="Times New Roman" w:eastAsia="Calibri" w:hAnsi="Times New Roman" w:cs="Times New Roman"/>
          <w:sz w:val="20"/>
          <w:szCs w:val="20"/>
        </w:rPr>
        <w:t>, BONFIM et al., 2018</w:t>
      </w:r>
      <w:r w:rsidR="004B48EC" w:rsidRPr="00E66785">
        <w:rPr>
          <w:rFonts w:ascii="Times New Roman" w:eastAsia="Calibri" w:hAnsi="Times New Roman" w:cs="Times New Roman"/>
          <w:sz w:val="20"/>
          <w:szCs w:val="20"/>
        </w:rPr>
        <w:t>).</w:t>
      </w:r>
    </w:p>
    <w:p w14:paraId="1213062F" w14:textId="77777777" w:rsidR="00DF7F8B" w:rsidRPr="00E66785" w:rsidRDefault="00DF7F8B" w:rsidP="00E6678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color w:val="000000"/>
          <w:sz w:val="20"/>
          <w:szCs w:val="20"/>
        </w:rPr>
        <w:t xml:space="preserve">A </w:t>
      </w:r>
      <w:proofErr w:type="spellStart"/>
      <w:r w:rsidRPr="00E66785">
        <w:rPr>
          <w:rFonts w:ascii="Times New Roman" w:hAnsi="Times New Roman" w:cs="Times New Roman"/>
          <w:i/>
          <w:color w:val="000000"/>
          <w:sz w:val="20"/>
          <w:szCs w:val="20"/>
        </w:rPr>
        <w:t>Crataeva</w:t>
      </w:r>
      <w:proofErr w:type="spellEnd"/>
      <w:r w:rsidRPr="00E6678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E66785">
        <w:rPr>
          <w:rFonts w:ascii="Times New Roman" w:hAnsi="Times New Roman" w:cs="Times New Roman"/>
          <w:i/>
          <w:color w:val="000000"/>
          <w:sz w:val="20"/>
          <w:szCs w:val="20"/>
        </w:rPr>
        <w:t>tapia</w:t>
      </w:r>
      <w:proofErr w:type="spellEnd"/>
      <w:r w:rsidRPr="00E6678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E66785">
        <w:rPr>
          <w:rFonts w:ascii="Times New Roman" w:hAnsi="Times New Roman" w:cs="Times New Roman"/>
          <w:color w:val="000000"/>
          <w:sz w:val="20"/>
          <w:szCs w:val="20"/>
        </w:rPr>
        <w:t xml:space="preserve">L. </w:t>
      </w:r>
      <w:proofErr w:type="spellStart"/>
      <w:r w:rsidRPr="00E66785">
        <w:rPr>
          <w:rFonts w:ascii="Times New Roman" w:hAnsi="Times New Roman" w:cs="Times New Roman"/>
          <w:color w:val="000000"/>
          <w:sz w:val="20"/>
          <w:szCs w:val="20"/>
        </w:rPr>
        <w:t>é</w:t>
      </w:r>
      <w:proofErr w:type="spellEnd"/>
      <w:r w:rsidRPr="00E6678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66785">
        <w:rPr>
          <w:rFonts w:ascii="Times New Roman" w:hAnsi="Times New Roman" w:cs="Times New Roman"/>
          <w:sz w:val="20"/>
          <w:szCs w:val="20"/>
        </w:rPr>
        <w:t xml:space="preserve">uma espécie florestal </w:t>
      </w:r>
      <w:r w:rsidRPr="00E66785">
        <w:rPr>
          <w:rFonts w:ascii="Times New Roman" w:hAnsi="Times New Roman" w:cs="Times New Roman"/>
          <w:color w:val="000000"/>
          <w:sz w:val="20"/>
          <w:szCs w:val="20"/>
        </w:rPr>
        <w:t xml:space="preserve">recomendada para a arborização e recomposição de áreas degradadas, essa recomposição tem </w:t>
      </w:r>
      <w:r w:rsidRPr="00E66785">
        <w:rPr>
          <w:rFonts w:ascii="Times New Roman" w:hAnsi="Times New Roman" w:cs="Times New Roman"/>
          <w:sz w:val="20"/>
          <w:szCs w:val="20"/>
        </w:rPr>
        <w:t xml:space="preserve">como objetivo fornecer ao ambiente, condições favoráveis a reestruturação condições físicas, químicas e biológicas de se regenerar por si só </w:t>
      </w:r>
      <w:r w:rsidRPr="00E66785">
        <w:rPr>
          <w:rFonts w:ascii="Times New Roman" w:hAnsi="Times New Roman" w:cs="Times New Roman"/>
          <w:color w:val="000000"/>
          <w:sz w:val="20"/>
          <w:szCs w:val="20"/>
        </w:rPr>
        <w:t>(LORENZI, 2002).</w:t>
      </w:r>
      <w:r w:rsidR="007151C5" w:rsidRPr="00E6678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151C5" w:rsidRPr="00E66785">
        <w:rPr>
          <w:rFonts w:ascii="Times New Roman" w:hAnsi="Times New Roman" w:cs="Times New Roman"/>
          <w:sz w:val="20"/>
          <w:szCs w:val="20"/>
        </w:rPr>
        <w:t xml:space="preserve">Estudos comprovam que uma proteína isolada a partir da casca dessa espécie apresentou propriedades biológicas como anti-inflamatório, analgésico, antitumoral e atividades </w:t>
      </w:r>
      <w:r w:rsidR="007151C5" w:rsidRPr="00664C9C">
        <w:rPr>
          <w:rFonts w:ascii="Times New Roman" w:hAnsi="Times New Roman" w:cs="Times New Roman"/>
          <w:sz w:val="20"/>
          <w:szCs w:val="20"/>
        </w:rPr>
        <w:t>inseticidas (ZHANG</w:t>
      </w:r>
      <w:r w:rsidR="007151C5" w:rsidRPr="00E66785">
        <w:rPr>
          <w:rFonts w:ascii="Times New Roman" w:hAnsi="Times New Roman" w:cs="Times New Roman"/>
          <w:sz w:val="20"/>
          <w:szCs w:val="20"/>
        </w:rPr>
        <w:t xml:space="preserve"> et al., 2013), sendo também utilizada como tônico, estomáquico, </w:t>
      </w:r>
      <w:proofErr w:type="spellStart"/>
      <w:r w:rsidR="007151C5" w:rsidRPr="00E66785">
        <w:rPr>
          <w:rFonts w:ascii="Times New Roman" w:hAnsi="Times New Roman" w:cs="Times New Roman"/>
          <w:sz w:val="20"/>
          <w:szCs w:val="20"/>
        </w:rPr>
        <w:t>antidisentérico</w:t>
      </w:r>
      <w:proofErr w:type="spellEnd"/>
      <w:r w:rsidR="007151C5" w:rsidRPr="00E66785">
        <w:rPr>
          <w:rFonts w:ascii="Times New Roman" w:hAnsi="Times New Roman" w:cs="Times New Roman"/>
          <w:sz w:val="20"/>
          <w:szCs w:val="20"/>
        </w:rPr>
        <w:t>, febrífugo e no combate das infecções do trato respiratório, devido a propriedades medicinais existentes em suas folhas, cascas e frutos (SHARMA et al., 2013).</w:t>
      </w:r>
    </w:p>
    <w:p w14:paraId="7EE104C0" w14:textId="1C49AAF3" w:rsidR="00DF7F8B" w:rsidRPr="00E66785" w:rsidRDefault="00BE785F" w:rsidP="00E6678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66785">
        <w:rPr>
          <w:rFonts w:ascii="Times New Roman" w:eastAsia="Calibri" w:hAnsi="Times New Roman" w:cs="Times New Roman"/>
          <w:sz w:val="20"/>
          <w:szCs w:val="20"/>
        </w:rPr>
        <w:t>E</w:t>
      </w:r>
      <w:r w:rsidR="00251241" w:rsidRPr="00E66785">
        <w:rPr>
          <w:rFonts w:ascii="Times New Roman" w:eastAsia="Calibri" w:hAnsi="Times New Roman" w:cs="Times New Roman"/>
          <w:sz w:val="20"/>
          <w:szCs w:val="20"/>
        </w:rPr>
        <w:t>studos envolvendo o conhecimento de aleloquímicos em espécies nativas da caatinga ainda são incipientes no Brasil, considerando sua diversidade biológica.</w:t>
      </w:r>
      <w:r w:rsidRPr="00E66785">
        <w:rPr>
          <w:rFonts w:ascii="Times New Roman" w:eastAsia="Calibri" w:hAnsi="Times New Roman" w:cs="Times New Roman"/>
          <w:sz w:val="20"/>
          <w:szCs w:val="20"/>
        </w:rPr>
        <w:t xml:space="preserve"> Diante do exposto, </w:t>
      </w:r>
      <w:r w:rsidR="000D3CEA" w:rsidRPr="00E66785">
        <w:rPr>
          <w:rFonts w:ascii="Times New Roman" w:eastAsia="Calibri" w:hAnsi="Times New Roman" w:cs="Times New Roman"/>
          <w:sz w:val="20"/>
          <w:szCs w:val="20"/>
        </w:rPr>
        <w:t xml:space="preserve">o presente trabalho teve por </w:t>
      </w:r>
      <w:r w:rsidRPr="00E66785">
        <w:rPr>
          <w:rFonts w:ascii="Times New Roman" w:eastAsia="Calibri" w:hAnsi="Times New Roman" w:cs="Times New Roman"/>
          <w:sz w:val="20"/>
          <w:szCs w:val="20"/>
        </w:rPr>
        <w:t xml:space="preserve">objetivo avaliar </w:t>
      </w:r>
      <w:r w:rsidRPr="00E66785">
        <w:rPr>
          <w:rFonts w:ascii="Times New Roman" w:hAnsi="Times New Roman" w:cs="Times New Roman"/>
          <w:sz w:val="20"/>
          <w:szCs w:val="20"/>
        </w:rPr>
        <w:t>o potencial antioxidante</w:t>
      </w:r>
      <w:r w:rsidR="000A1E25" w:rsidRPr="00E66785">
        <w:rPr>
          <w:rFonts w:ascii="Times New Roman" w:hAnsi="Times New Roman" w:cs="Times New Roman"/>
          <w:sz w:val="20"/>
          <w:szCs w:val="20"/>
        </w:rPr>
        <w:t xml:space="preserve"> de folhas de </w:t>
      </w:r>
      <w:proofErr w:type="spellStart"/>
      <w:r w:rsidRPr="00E66785">
        <w:rPr>
          <w:rFonts w:ascii="Times New Roman" w:hAnsi="Times New Roman" w:cs="Times New Roman"/>
          <w:i/>
          <w:sz w:val="20"/>
          <w:szCs w:val="20"/>
        </w:rPr>
        <w:t>Crataeva</w:t>
      </w:r>
      <w:proofErr w:type="spellEnd"/>
      <w:r w:rsidRPr="00E6678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66785">
        <w:rPr>
          <w:rFonts w:ascii="Times New Roman" w:hAnsi="Times New Roman" w:cs="Times New Roman"/>
          <w:i/>
          <w:sz w:val="20"/>
          <w:szCs w:val="20"/>
        </w:rPr>
        <w:t>tapia</w:t>
      </w:r>
      <w:proofErr w:type="spellEnd"/>
      <w:r w:rsidRPr="00E6678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66785">
        <w:rPr>
          <w:rFonts w:ascii="Times New Roman" w:hAnsi="Times New Roman" w:cs="Times New Roman"/>
          <w:sz w:val="20"/>
          <w:szCs w:val="20"/>
        </w:rPr>
        <w:t>L.</w:t>
      </w:r>
      <w:r w:rsidR="0095338B">
        <w:rPr>
          <w:rFonts w:ascii="Times New Roman" w:hAnsi="Times New Roman" w:cs="Times New Roman"/>
          <w:sz w:val="20"/>
          <w:szCs w:val="20"/>
        </w:rPr>
        <w:t xml:space="preserve"> e seu efeito </w:t>
      </w:r>
      <w:r w:rsidR="000A1E25" w:rsidRPr="00E66785">
        <w:rPr>
          <w:rFonts w:ascii="Times New Roman" w:hAnsi="Times New Roman" w:cs="Times New Roman"/>
          <w:sz w:val="20"/>
          <w:szCs w:val="20"/>
        </w:rPr>
        <w:t>alelopático,</w:t>
      </w:r>
      <w:r w:rsidR="000D3CEA" w:rsidRPr="00E66785">
        <w:rPr>
          <w:rFonts w:ascii="Times New Roman" w:hAnsi="Times New Roman" w:cs="Times New Roman"/>
          <w:sz w:val="20"/>
          <w:szCs w:val="20"/>
        </w:rPr>
        <w:t xml:space="preserve"> visando seu potencial </w:t>
      </w:r>
      <w:r w:rsidR="000D3CEA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como provável fonte de compostos antioxidantes naturais </w:t>
      </w:r>
      <w:r w:rsidR="0095338B">
        <w:rPr>
          <w:rFonts w:ascii="Times New Roman" w:eastAsia="Times New Roman" w:hAnsi="Times New Roman" w:cs="Times New Roman"/>
          <w:sz w:val="20"/>
          <w:szCs w:val="20"/>
          <w:lang w:eastAsia="pt-BR"/>
        </w:rPr>
        <w:t>para</w:t>
      </w:r>
      <w:r w:rsidR="000D3CEA" w:rsidRP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indústria alimentícia, farmacêutica e aleloquímicos como fonte de </w:t>
      </w:r>
      <w:r w:rsidR="00E66785">
        <w:rPr>
          <w:rFonts w:ascii="Times New Roman" w:eastAsia="Times New Roman" w:hAnsi="Times New Roman" w:cs="Times New Roman"/>
          <w:sz w:val="20"/>
          <w:szCs w:val="20"/>
          <w:lang w:eastAsia="pt-BR"/>
        </w:rPr>
        <w:t>herbicida natural.</w:t>
      </w:r>
    </w:p>
    <w:p w14:paraId="12C15622" w14:textId="77777777" w:rsidR="00D25E94" w:rsidRDefault="00D25E94" w:rsidP="000D3C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1CFB57" w14:textId="2A6A16D8" w:rsidR="00AB352B" w:rsidRDefault="00B42081" w:rsidP="000D3C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DF7F8B" w:rsidRPr="00DF7F8B">
        <w:rPr>
          <w:rFonts w:ascii="Times New Roman" w:hAnsi="Times New Roman" w:cs="Times New Roman"/>
          <w:b/>
          <w:sz w:val="24"/>
          <w:szCs w:val="24"/>
        </w:rPr>
        <w:t>MATERIAL E MÉTODOS</w:t>
      </w:r>
    </w:p>
    <w:p w14:paraId="46E313B8" w14:textId="77777777" w:rsidR="00EA6485" w:rsidRPr="00E66785" w:rsidRDefault="00EA6485" w:rsidP="00E6678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6785">
        <w:rPr>
          <w:rFonts w:ascii="Times New Roman" w:hAnsi="Times New Roman" w:cs="Times New Roman"/>
          <w:b/>
          <w:sz w:val="20"/>
          <w:szCs w:val="20"/>
        </w:rPr>
        <w:t>Material Vegetal e extratos</w:t>
      </w:r>
    </w:p>
    <w:p w14:paraId="10784EE4" w14:textId="77777777" w:rsidR="00DF7F8B" w:rsidRPr="00E66785" w:rsidRDefault="00EA6485" w:rsidP="00E66785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>F</w:t>
      </w:r>
      <w:r w:rsidR="00DF7F8B" w:rsidRPr="00E66785">
        <w:rPr>
          <w:rFonts w:ascii="Times New Roman" w:hAnsi="Times New Roman" w:cs="Times New Roman"/>
          <w:sz w:val="20"/>
          <w:szCs w:val="20"/>
        </w:rPr>
        <w:t xml:space="preserve">olhas de </w:t>
      </w:r>
      <w:proofErr w:type="spellStart"/>
      <w:r w:rsidR="00DF7F8B" w:rsidRPr="00E66785">
        <w:rPr>
          <w:rFonts w:ascii="Times New Roman" w:hAnsi="Times New Roman" w:cs="Times New Roman"/>
          <w:sz w:val="20"/>
          <w:szCs w:val="20"/>
        </w:rPr>
        <w:t>Trapiá</w:t>
      </w:r>
      <w:proofErr w:type="spellEnd"/>
      <w:r w:rsidR="00DF7F8B" w:rsidRPr="00E6678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DF7F8B" w:rsidRPr="00E66785">
        <w:rPr>
          <w:rFonts w:ascii="Times New Roman" w:hAnsi="Times New Roman" w:cs="Times New Roman"/>
          <w:i/>
          <w:sz w:val="20"/>
          <w:szCs w:val="20"/>
        </w:rPr>
        <w:t>Crataeva</w:t>
      </w:r>
      <w:proofErr w:type="spellEnd"/>
      <w:r w:rsidR="00DF7F8B" w:rsidRPr="00E6678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F7F8B" w:rsidRPr="00E66785">
        <w:rPr>
          <w:rFonts w:ascii="Times New Roman" w:hAnsi="Times New Roman" w:cs="Times New Roman"/>
          <w:i/>
          <w:sz w:val="20"/>
          <w:szCs w:val="20"/>
        </w:rPr>
        <w:t>tapia</w:t>
      </w:r>
      <w:proofErr w:type="spellEnd"/>
      <w:r w:rsidR="00DF7F8B" w:rsidRPr="00E66785">
        <w:rPr>
          <w:rFonts w:ascii="Times New Roman" w:hAnsi="Times New Roman" w:cs="Times New Roman"/>
          <w:sz w:val="20"/>
          <w:szCs w:val="20"/>
        </w:rPr>
        <w:t xml:space="preserve"> L.)</w:t>
      </w:r>
      <w:r w:rsidRPr="00E66785">
        <w:rPr>
          <w:rFonts w:ascii="Times New Roman" w:hAnsi="Times New Roman" w:cs="Times New Roman"/>
          <w:sz w:val="20"/>
          <w:szCs w:val="20"/>
        </w:rPr>
        <w:t xml:space="preserve"> foram</w:t>
      </w:r>
      <w:r w:rsidR="00DF7F8B" w:rsidRPr="00E66785">
        <w:rPr>
          <w:rFonts w:ascii="Times New Roman" w:hAnsi="Times New Roman" w:cs="Times New Roman"/>
          <w:sz w:val="20"/>
          <w:szCs w:val="20"/>
        </w:rPr>
        <w:t xml:space="preserve"> coletadas em uma área de vegetação natural localizada no município de Palmeira dos Índios, Estado de Alagoas. </w:t>
      </w:r>
      <w:r w:rsidRPr="00E66785">
        <w:rPr>
          <w:rFonts w:ascii="Times New Roman" w:hAnsi="Times New Roman" w:cs="Times New Roman"/>
          <w:sz w:val="20"/>
          <w:szCs w:val="20"/>
        </w:rPr>
        <w:t xml:space="preserve">Após coleta as </w:t>
      </w:r>
      <w:r w:rsidR="00DF7F8B" w:rsidRPr="00E66785">
        <w:rPr>
          <w:rFonts w:ascii="Times New Roman" w:hAnsi="Times New Roman" w:cs="Times New Roman"/>
          <w:sz w:val="20"/>
          <w:szCs w:val="20"/>
        </w:rPr>
        <w:t xml:space="preserve">folhas foram levadas a Embrapa Tabuleiros Costeiros-UEP/Rio Largo, para secagem em estufa à 40ºC, até obtenção de peso constate e trituradas em moinho de facas e armazenados em freezer à -4ºC, até sua utilização. </w:t>
      </w:r>
    </w:p>
    <w:p w14:paraId="72773A85" w14:textId="77777777" w:rsidR="00DF7F8B" w:rsidRPr="00E66785" w:rsidRDefault="00DF7F8B" w:rsidP="00E66785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 xml:space="preserve">Para a obtenção do extrato bruto, 25 g da amostra vegetal, previamente moídas, foram solubilizadas em 200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de etanol, obtendo-se o extrato EET. Após o término da extração, o extrato foi filtrado em papel filtro e submetido à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rotaevaporador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rotativo para a completa evaporação do solvente. </w:t>
      </w:r>
    </w:p>
    <w:p w14:paraId="630CFB46" w14:textId="77777777" w:rsidR="00E66785" w:rsidRDefault="00E66785" w:rsidP="00E6678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410891F" w14:textId="77777777" w:rsidR="00EA6485" w:rsidRPr="00E66785" w:rsidRDefault="00EA6485" w:rsidP="00E6678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6785">
        <w:rPr>
          <w:rFonts w:ascii="Times New Roman" w:hAnsi="Times New Roman" w:cs="Times New Roman"/>
          <w:b/>
          <w:sz w:val="20"/>
          <w:szCs w:val="20"/>
        </w:rPr>
        <w:t>Análises fotoquímicas</w:t>
      </w:r>
    </w:p>
    <w:p w14:paraId="096911D4" w14:textId="77777777" w:rsidR="00BE785F" w:rsidRPr="00E66785" w:rsidRDefault="000D3CEA" w:rsidP="00E66785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 xml:space="preserve">A etapa de </w:t>
      </w:r>
      <w:r w:rsidR="00BE785F" w:rsidRPr="00E66785">
        <w:rPr>
          <w:rFonts w:ascii="Times New Roman" w:hAnsi="Times New Roman" w:cs="Times New Roman"/>
          <w:sz w:val="20"/>
          <w:szCs w:val="20"/>
        </w:rPr>
        <w:t xml:space="preserve">triagem </w:t>
      </w:r>
      <w:proofErr w:type="spellStart"/>
      <w:r w:rsidR="00BE785F" w:rsidRPr="00E66785">
        <w:rPr>
          <w:rFonts w:ascii="Times New Roman" w:hAnsi="Times New Roman" w:cs="Times New Roman"/>
          <w:sz w:val="20"/>
          <w:szCs w:val="20"/>
        </w:rPr>
        <w:t>fitoquímica</w:t>
      </w:r>
      <w:proofErr w:type="spellEnd"/>
      <w:r w:rsidR="00BE785F" w:rsidRPr="00E66785">
        <w:rPr>
          <w:sz w:val="20"/>
          <w:szCs w:val="20"/>
        </w:rPr>
        <w:t xml:space="preserve"> </w:t>
      </w:r>
      <w:r w:rsidR="00BE785F" w:rsidRPr="00E66785">
        <w:rPr>
          <w:rFonts w:ascii="Times New Roman" w:hAnsi="Times New Roman" w:cs="Times New Roman"/>
          <w:sz w:val="20"/>
          <w:szCs w:val="20"/>
        </w:rPr>
        <w:t xml:space="preserve">tomou-se como base a metodologia proposta por Matos (1989) a qual foi trabalhada com algumas adaptações a fim de realizar prospecção dos seguintes metabólitos secundários: fenóis, taninos </w:t>
      </w:r>
      <w:proofErr w:type="spellStart"/>
      <w:r w:rsidR="00BE785F" w:rsidRPr="00E66785">
        <w:rPr>
          <w:rFonts w:ascii="Times New Roman" w:hAnsi="Times New Roman" w:cs="Times New Roman"/>
          <w:sz w:val="20"/>
          <w:szCs w:val="20"/>
        </w:rPr>
        <w:t>pirógalicos</w:t>
      </w:r>
      <w:proofErr w:type="spellEnd"/>
      <w:r w:rsidR="00BE785F" w:rsidRPr="00E66785">
        <w:rPr>
          <w:rFonts w:ascii="Times New Roman" w:hAnsi="Times New Roman" w:cs="Times New Roman"/>
          <w:sz w:val="20"/>
          <w:szCs w:val="20"/>
        </w:rPr>
        <w:t xml:space="preserve">, taninos </w:t>
      </w:r>
      <w:proofErr w:type="spellStart"/>
      <w:r w:rsidR="00BE785F" w:rsidRPr="00E66785">
        <w:rPr>
          <w:rFonts w:ascii="Times New Roman" w:hAnsi="Times New Roman" w:cs="Times New Roman"/>
          <w:sz w:val="20"/>
          <w:szCs w:val="20"/>
        </w:rPr>
        <w:t>flobafênicos</w:t>
      </w:r>
      <w:proofErr w:type="spellEnd"/>
      <w:r w:rsidR="00BE785F" w:rsidRPr="00E66785">
        <w:rPr>
          <w:rFonts w:ascii="Times New Roman" w:hAnsi="Times New Roman" w:cs="Times New Roman"/>
          <w:sz w:val="20"/>
          <w:szCs w:val="20"/>
        </w:rPr>
        <w:t xml:space="preserve">, antocianina e </w:t>
      </w:r>
      <w:proofErr w:type="spellStart"/>
      <w:r w:rsidR="00BE785F" w:rsidRPr="00E66785">
        <w:rPr>
          <w:rFonts w:ascii="Times New Roman" w:hAnsi="Times New Roman" w:cs="Times New Roman"/>
          <w:sz w:val="20"/>
          <w:szCs w:val="20"/>
        </w:rPr>
        <w:t>antocianidina</w:t>
      </w:r>
      <w:proofErr w:type="spellEnd"/>
      <w:r w:rsidR="00BE785F" w:rsidRPr="00E66785">
        <w:rPr>
          <w:rFonts w:ascii="Times New Roman" w:hAnsi="Times New Roman" w:cs="Times New Roman"/>
          <w:sz w:val="20"/>
          <w:szCs w:val="20"/>
        </w:rPr>
        <w:t xml:space="preserve">, flavonas, flavonóis, xantonas, </w:t>
      </w:r>
      <w:proofErr w:type="spellStart"/>
      <w:r w:rsidR="00BE785F" w:rsidRPr="00E66785">
        <w:rPr>
          <w:rFonts w:ascii="Times New Roman" w:hAnsi="Times New Roman" w:cs="Times New Roman"/>
          <w:sz w:val="20"/>
          <w:szCs w:val="20"/>
        </w:rPr>
        <w:t>chalconas</w:t>
      </w:r>
      <w:proofErr w:type="spellEnd"/>
      <w:r w:rsidR="00BE785F" w:rsidRPr="00E6678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E785F" w:rsidRPr="00E66785">
        <w:rPr>
          <w:rFonts w:ascii="Times New Roman" w:hAnsi="Times New Roman" w:cs="Times New Roman"/>
          <w:sz w:val="20"/>
          <w:szCs w:val="20"/>
        </w:rPr>
        <w:t>auronas</w:t>
      </w:r>
      <w:proofErr w:type="spellEnd"/>
      <w:r w:rsidR="00BE785F" w:rsidRPr="00E6678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E785F" w:rsidRPr="00E66785">
        <w:rPr>
          <w:rFonts w:ascii="Times New Roman" w:hAnsi="Times New Roman" w:cs="Times New Roman"/>
          <w:sz w:val="20"/>
          <w:szCs w:val="20"/>
        </w:rPr>
        <w:t>flavononois</w:t>
      </w:r>
      <w:proofErr w:type="spellEnd"/>
      <w:r w:rsidR="00BE785F" w:rsidRPr="00E6678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E785F" w:rsidRPr="00E66785">
        <w:rPr>
          <w:rFonts w:ascii="Times New Roman" w:hAnsi="Times New Roman" w:cs="Times New Roman"/>
          <w:sz w:val="20"/>
          <w:szCs w:val="20"/>
        </w:rPr>
        <w:t>leucoantocianidinas</w:t>
      </w:r>
      <w:proofErr w:type="spellEnd"/>
      <w:r w:rsidR="00BE785F" w:rsidRPr="00E66785">
        <w:rPr>
          <w:rFonts w:ascii="Times New Roman" w:hAnsi="Times New Roman" w:cs="Times New Roman"/>
          <w:sz w:val="20"/>
          <w:szCs w:val="20"/>
        </w:rPr>
        <w:t xml:space="preserve">, catequinas, </w:t>
      </w:r>
      <w:proofErr w:type="spellStart"/>
      <w:r w:rsidR="00BE785F" w:rsidRPr="00E66785">
        <w:rPr>
          <w:rFonts w:ascii="Times New Roman" w:hAnsi="Times New Roman" w:cs="Times New Roman"/>
          <w:sz w:val="20"/>
          <w:szCs w:val="20"/>
        </w:rPr>
        <w:t>esteróides</w:t>
      </w:r>
      <w:proofErr w:type="spellEnd"/>
      <w:r w:rsidR="00BE785F" w:rsidRPr="00E6678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E785F" w:rsidRPr="00E66785">
        <w:rPr>
          <w:rFonts w:ascii="Times New Roman" w:hAnsi="Times New Roman" w:cs="Times New Roman"/>
          <w:sz w:val="20"/>
          <w:szCs w:val="20"/>
        </w:rPr>
        <w:t>triterpenóides</w:t>
      </w:r>
      <w:proofErr w:type="spellEnd"/>
      <w:r w:rsidR="00BE785F" w:rsidRPr="00E66785">
        <w:rPr>
          <w:rFonts w:ascii="Times New Roman" w:hAnsi="Times New Roman" w:cs="Times New Roman"/>
          <w:sz w:val="20"/>
          <w:szCs w:val="20"/>
        </w:rPr>
        <w:t xml:space="preserve"> e saponinas. </w:t>
      </w:r>
    </w:p>
    <w:p w14:paraId="1EDDA1E6" w14:textId="77777777" w:rsidR="00455C64" w:rsidRPr="00E66785" w:rsidRDefault="00455C64" w:rsidP="00E6678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798AAA7" w14:textId="77777777" w:rsidR="00455C64" w:rsidRPr="00E66785" w:rsidRDefault="00455C64" w:rsidP="00E6678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6785">
        <w:rPr>
          <w:rFonts w:ascii="Times New Roman" w:hAnsi="Times New Roman" w:cs="Times New Roman"/>
          <w:b/>
          <w:sz w:val="20"/>
          <w:szCs w:val="20"/>
        </w:rPr>
        <w:t>Determinação da atividade antioxidante</w:t>
      </w:r>
    </w:p>
    <w:p w14:paraId="76D7A80C" w14:textId="4720F60E" w:rsidR="00BE785F" w:rsidRPr="00E66785" w:rsidRDefault="00455C64" w:rsidP="00E66785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 xml:space="preserve">A investigação da </w:t>
      </w:r>
      <w:r w:rsidR="00EA6485" w:rsidRPr="00E66785">
        <w:rPr>
          <w:rFonts w:ascii="Times New Roman" w:hAnsi="Times New Roman" w:cs="Times New Roman"/>
          <w:sz w:val="20"/>
          <w:szCs w:val="20"/>
        </w:rPr>
        <w:t xml:space="preserve">atividade antioxidante foi </w:t>
      </w:r>
      <w:r w:rsidRPr="00E66785">
        <w:rPr>
          <w:rFonts w:ascii="Times New Roman" w:hAnsi="Times New Roman" w:cs="Times New Roman"/>
          <w:sz w:val="20"/>
          <w:szCs w:val="20"/>
        </w:rPr>
        <w:t>realizada pelo</w:t>
      </w:r>
      <w:r w:rsidR="00EA6485" w:rsidRPr="00E66785">
        <w:rPr>
          <w:rFonts w:ascii="Times New Roman" w:hAnsi="Times New Roman" w:cs="Times New Roman"/>
          <w:sz w:val="20"/>
          <w:szCs w:val="20"/>
        </w:rPr>
        <w:t xml:space="preserve"> método</w:t>
      </w:r>
      <w:r w:rsidR="00EA6485" w:rsidRPr="00E66785">
        <w:rPr>
          <w:rFonts w:ascii="Times New Roman" w:hAnsi="Times New Roman" w:cs="Times New Roman"/>
          <w:bCs/>
          <w:sz w:val="20"/>
          <w:szCs w:val="20"/>
        </w:rPr>
        <w:t xml:space="preserve"> DPPH, e a amostra diluída </w:t>
      </w:r>
      <w:r w:rsidR="00BE785F" w:rsidRPr="00E66785">
        <w:rPr>
          <w:rFonts w:ascii="Times New Roman" w:hAnsi="Times New Roman" w:cs="Times New Roman"/>
          <w:bCs/>
          <w:sz w:val="20"/>
          <w:szCs w:val="20"/>
        </w:rPr>
        <w:t xml:space="preserve">em etanol nas concentrações de </w:t>
      </w:r>
      <w:r w:rsidR="00BE785F" w:rsidRPr="00E66785">
        <w:rPr>
          <w:rFonts w:ascii="Times New Roman" w:hAnsi="Times New Roman" w:cs="Times New Roman"/>
          <w:sz w:val="20"/>
          <w:szCs w:val="20"/>
        </w:rPr>
        <w:t xml:space="preserve">250, 200, 150, 100 e 50 </w:t>
      </w:r>
      <w:proofErr w:type="spellStart"/>
      <w:r w:rsidR="00BE785F" w:rsidRPr="00E66785">
        <w:rPr>
          <w:rFonts w:ascii="Times New Roman" w:hAnsi="Times New Roman" w:cs="Times New Roman"/>
          <w:bCs/>
          <w:sz w:val="20"/>
          <w:szCs w:val="20"/>
        </w:rPr>
        <w:t>μg</w:t>
      </w:r>
      <w:proofErr w:type="spellEnd"/>
      <w:r w:rsidR="00BE785F" w:rsidRPr="00E66785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BE785F" w:rsidRPr="00E66785">
        <w:rPr>
          <w:rFonts w:ascii="Times New Roman" w:hAnsi="Times New Roman" w:cs="Times New Roman"/>
          <w:bCs/>
          <w:sz w:val="20"/>
          <w:szCs w:val="20"/>
        </w:rPr>
        <w:t>mL</w:t>
      </w:r>
      <w:proofErr w:type="spellEnd"/>
      <w:r w:rsidR="00BE785F" w:rsidRPr="00E66785">
        <w:rPr>
          <w:rFonts w:ascii="Times New Roman" w:hAnsi="Times New Roman" w:cs="Times New Roman"/>
          <w:bCs/>
          <w:sz w:val="20"/>
          <w:szCs w:val="20"/>
        </w:rPr>
        <w:t xml:space="preserve">. Para cada concentração o teste foi realizado em triplicata. Em 3 </w:t>
      </w:r>
      <w:proofErr w:type="spellStart"/>
      <w:r w:rsidR="00BE785F" w:rsidRPr="00E66785">
        <w:rPr>
          <w:rFonts w:ascii="Times New Roman" w:hAnsi="Times New Roman" w:cs="Times New Roman"/>
          <w:bCs/>
          <w:sz w:val="20"/>
          <w:szCs w:val="20"/>
        </w:rPr>
        <w:t>mL</w:t>
      </w:r>
      <w:proofErr w:type="spellEnd"/>
      <w:r w:rsidR="00BE785F" w:rsidRPr="00E66785">
        <w:rPr>
          <w:rFonts w:ascii="Times New Roman" w:hAnsi="Times New Roman" w:cs="Times New Roman"/>
          <w:bCs/>
          <w:sz w:val="20"/>
          <w:szCs w:val="20"/>
        </w:rPr>
        <w:t xml:space="preserve"> de da amostra foi acrescido 0,1 </w:t>
      </w:r>
      <w:proofErr w:type="spellStart"/>
      <w:r w:rsidR="00BE785F" w:rsidRPr="00E66785">
        <w:rPr>
          <w:rFonts w:ascii="Times New Roman" w:hAnsi="Times New Roman" w:cs="Times New Roman"/>
          <w:bCs/>
          <w:sz w:val="20"/>
          <w:szCs w:val="20"/>
        </w:rPr>
        <w:t>mL</w:t>
      </w:r>
      <w:proofErr w:type="spellEnd"/>
      <w:r w:rsidR="00BE785F" w:rsidRPr="00E66785">
        <w:rPr>
          <w:rFonts w:ascii="Times New Roman" w:hAnsi="Times New Roman" w:cs="Times New Roman"/>
          <w:bCs/>
          <w:sz w:val="20"/>
          <w:szCs w:val="20"/>
        </w:rPr>
        <w:t xml:space="preserve"> de solução </w:t>
      </w:r>
      <w:proofErr w:type="spellStart"/>
      <w:r w:rsidR="00BE785F" w:rsidRPr="00E66785">
        <w:rPr>
          <w:rFonts w:ascii="Times New Roman" w:hAnsi="Times New Roman" w:cs="Times New Roman"/>
          <w:bCs/>
          <w:sz w:val="20"/>
          <w:szCs w:val="20"/>
        </w:rPr>
        <w:t>etanólica</w:t>
      </w:r>
      <w:proofErr w:type="spellEnd"/>
      <w:r w:rsidR="00BE785F" w:rsidRPr="00E66785">
        <w:rPr>
          <w:rFonts w:ascii="Times New Roman" w:hAnsi="Times New Roman" w:cs="Times New Roman"/>
          <w:bCs/>
          <w:sz w:val="20"/>
          <w:szCs w:val="20"/>
        </w:rPr>
        <w:t xml:space="preserve"> do radical livre DPPH, e incubada por 30 minutos à temperatura ambiente, ao abrigo da luz. Como branco foram utilizadas as amostras em cada uma das diluições. Decorrido o tempo foi realizada a leitura das absorbâncias em 517 </w:t>
      </w:r>
      <w:proofErr w:type="spellStart"/>
      <w:r w:rsidR="00BE785F" w:rsidRPr="00E66785">
        <w:rPr>
          <w:rFonts w:ascii="Times New Roman" w:hAnsi="Times New Roman" w:cs="Times New Roman"/>
          <w:bCs/>
          <w:sz w:val="20"/>
          <w:szCs w:val="20"/>
        </w:rPr>
        <w:t>nm</w:t>
      </w:r>
      <w:proofErr w:type="spellEnd"/>
      <w:r w:rsidR="00BE785F" w:rsidRPr="00E66785">
        <w:rPr>
          <w:rFonts w:ascii="Times New Roman" w:hAnsi="Times New Roman" w:cs="Times New Roman"/>
          <w:bCs/>
          <w:sz w:val="20"/>
          <w:szCs w:val="20"/>
        </w:rPr>
        <w:t xml:space="preserve"> (espectrofotômetro) da amostra com DPPH contra seu branco específico. Como controle foi utilizada uma alíquota de 0,1 </w:t>
      </w:r>
      <w:proofErr w:type="spellStart"/>
      <w:r w:rsidR="00BE785F" w:rsidRPr="00E66785">
        <w:rPr>
          <w:rFonts w:ascii="Times New Roman" w:hAnsi="Times New Roman" w:cs="Times New Roman"/>
          <w:bCs/>
          <w:sz w:val="20"/>
          <w:szCs w:val="20"/>
        </w:rPr>
        <w:t>mL</w:t>
      </w:r>
      <w:proofErr w:type="spellEnd"/>
      <w:r w:rsidR="00BE785F" w:rsidRPr="00E66785">
        <w:rPr>
          <w:rFonts w:ascii="Times New Roman" w:hAnsi="Times New Roman" w:cs="Times New Roman"/>
          <w:bCs/>
          <w:sz w:val="20"/>
          <w:szCs w:val="20"/>
        </w:rPr>
        <w:t xml:space="preserve"> de solução </w:t>
      </w:r>
      <w:proofErr w:type="spellStart"/>
      <w:r w:rsidR="00BE785F" w:rsidRPr="00E66785">
        <w:rPr>
          <w:rFonts w:ascii="Times New Roman" w:hAnsi="Times New Roman" w:cs="Times New Roman"/>
          <w:bCs/>
          <w:sz w:val="20"/>
          <w:szCs w:val="20"/>
        </w:rPr>
        <w:t>etanólica</w:t>
      </w:r>
      <w:proofErr w:type="spellEnd"/>
      <w:r w:rsidR="00BE785F" w:rsidRPr="00E66785">
        <w:rPr>
          <w:rFonts w:ascii="Times New Roman" w:hAnsi="Times New Roman" w:cs="Times New Roman"/>
          <w:bCs/>
          <w:sz w:val="20"/>
          <w:szCs w:val="20"/>
        </w:rPr>
        <w:t xml:space="preserve"> de DPPH adiciona</w:t>
      </w:r>
      <w:r w:rsidR="005F39A3">
        <w:rPr>
          <w:rFonts w:ascii="Times New Roman" w:hAnsi="Times New Roman" w:cs="Times New Roman"/>
          <w:bCs/>
          <w:sz w:val="20"/>
          <w:szCs w:val="20"/>
        </w:rPr>
        <w:t xml:space="preserve">da de 3 </w:t>
      </w:r>
      <w:proofErr w:type="spellStart"/>
      <w:r w:rsidR="005F39A3">
        <w:rPr>
          <w:rFonts w:ascii="Times New Roman" w:hAnsi="Times New Roman" w:cs="Times New Roman"/>
          <w:bCs/>
          <w:sz w:val="20"/>
          <w:szCs w:val="20"/>
        </w:rPr>
        <w:t>mL</w:t>
      </w:r>
      <w:proofErr w:type="spellEnd"/>
      <w:r w:rsidR="005F39A3">
        <w:rPr>
          <w:rFonts w:ascii="Times New Roman" w:hAnsi="Times New Roman" w:cs="Times New Roman"/>
          <w:bCs/>
          <w:sz w:val="20"/>
          <w:szCs w:val="20"/>
        </w:rPr>
        <w:t xml:space="preserve"> de etanol. </w:t>
      </w:r>
      <w:r w:rsidR="00BE785F" w:rsidRPr="00E66785">
        <w:rPr>
          <w:rFonts w:ascii="Times New Roman" w:hAnsi="Times New Roman" w:cs="Times New Roman"/>
          <w:bCs/>
          <w:sz w:val="20"/>
          <w:szCs w:val="20"/>
        </w:rPr>
        <w:t xml:space="preserve"> Para avaliar a atividade captadora de radical livre, a porcentagem de inibição foi baseada na equação abaixo: </w:t>
      </w:r>
      <w:r w:rsidR="00BE785F" w:rsidRPr="00E66785">
        <w:rPr>
          <w:rFonts w:ascii="Times New Roman" w:hAnsi="Times New Roman" w:cs="Times New Roman"/>
          <w:sz w:val="20"/>
          <w:szCs w:val="20"/>
        </w:rPr>
        <w:t xml:space="preserve">AAO % = 100 </w:t>
      </w:r>
      <w:proofErr w:type="gramStart"/>
      <w:r w:rsidR="00BE785F" w:rsidRPr="00E66785">
        <w:rPr>
          <w:rFonts w:ascii="Times New Roman" w:hAnsi="Times New Roman" w:cs="Times New Roman"/>
          <w:sz w:val="20"/>
          <w:szCs w:val="20"/>
        </w:rPr>
        <w:t>–{</w:t>
      </w:r>
      <w:proofErr w:type="gramEnd"/>
      <w:r w:rsidR="00BE785F" w:rsidRPr="00E66785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="00BE785F" w:rsidRPr="00E66785">
        <w:rPr>
          <w:rFonts w:ascii="Times New Roman" w:hAnsi="Times New Roman" w:cs="Times New Roman"/>
          <w:sz w:val="20"/>
          <w:szCs w:val="20"/>
        </w:rPr>
        <w:t>AbsA</w:t>
      </w:r>
      <w:proofErr w:type="spellEnd"/>
      <w:r w:rsidR="00BE785F" w:rsidRPr="00E66785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="00BE785F" w:rsidRPr="00E66785">
        <w:rPr>
          <w:rFonts w:ascii="Times New Roman" w:hAnsi="Times New Roman" w:cs="Times New Roman"/>
          <w:sz w:val="20"/>
          <w:szCs w:val="20"/>
        </w:rPr>
        <w:t>AbsB</w:t>
      </w:r>
      <w:proofErr w:type="spellEnd"/>
      <w:r w:rsidR="00BE785F" w:rsidRPr="00E66785">
        <w:rPr>
          <w:rFonts w:ascii="Times New Roman" w:hAnsi="Times New Roman" w:cs="Times New Roman"/>
          <w:sz w:val="20"/>
          <w:szCs w:val="20"/>
        </w:rPr>
        <w:t xml:space="preserve">) X 100]}/ </w:t>
      </w:r>
      <w:proofErr w:type="spellStart"/>
      <w:r w:rsidR="00BE785F" w:rsidRPr="00E66785">
        <w:rPr>
          <w:rFonts w:ascii="Times New Roman" w:hAnsi="Times New Roman" w:cs="Times New Roman"/>
          <w:sz w:val="20"/>
          <w:szCs w:val="20"/>
        </w:rPr>
        <w:t>AbsC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, onde </w:t>
      </w:r>
      <w:proofErr w:type="spellStart"/>
      <w:r w:rsidR="00BE785F" w:rsidRPr="00E66785">
        <w:rPr>
          <w:rFonts w:ascii="Times New Roman" w:hAnsi="Times New Roman" w:cs="Times New Roman"/>
          <w:sz w:val="20"/>
          <w:szCs w:val="20"/>
        </w:rPr>
        <w:t>Abs</w:t>
      </w:r>
      <w:proofErr w:type="spellEnd"/>
      <w:r w:rsidR="00BE785F" w:rsidRPr="00E66785">
        <w:rPr>
          <w:rFonts w:ascii="Times New Roman" w:hAnsi="Times New Roman" w:cs="Times New Roman"/>
          <w:sz w:val="20"/>
          <w:szCs w:val="20"/>
        </w:rPr>
        <w:t xml:space="preserve"> A absorbância da amostra; </w:t>
      </w:r>
      <w:proofErr w:type="spellStart"/>
      <w:r w:rsidR="00BE785F" w:rsidRPr="00E66785">
        <w:rPr>
          <w:rFonts w:ascii="Times New Roman" w:hAnsi="Times New Roman" w:cs="Times New Roman"/>
          <w:sz w:val="20"/>
          <w:szCs w:val="20"/>
        </w:rPr>
        <w:t>Abs</w:t>
      </w:r>
      <w:proofErr w:type="spellEnd"/>
      <w:r w:rsidR="00BE785F" w:rsidRPr="00E66785">
        <w:rPr>
          <w:rFonts w:ascii="Times New Roman" w:hAnsi="Times New Roman" w:cs="Times New Roman"/>
          <w:sz w:val="20"/>
          <w:szCs w:val="20"/>
        </w:rPr>
        <w:t xml:space="preserve"> B absorbância do branco da amostra;</w:t>
      </w:r>
      <w:r w:rsidRPr="00E66785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="00BE785F" w:rsidRPr="00E66785">
        <w:rPr>
          <w:rFonts w:ascii="Times New Roman" w:hAnsi="Times New Roman" w:cs="Times New Roman"/>
          <w:sz w:val="20"/>
          <w:szCs w:val="20"/>
        </w:rPr>
        <w:t>Abs</w:t>
      </w:r>
      <w:proofErr w:type="spellEnd"/>
      <w:r w:rsidR="00BE785F" w:rsidRPr="00E66785">
        <w:rPr>
          <w:rFonts w:ascii="Times New Roman" w:hAnsi="Times New Roman" w:cs="Times New Roman"/>
          <w:sz w:val="20"/>
          <w:szCs w:val="20"/>
        </w:rPr>
        <w:t xml:space="preserve"> C absorbância do controle.</w:t>
      </w:r>
    </w:p>
    <w:p w14:paraId="4A56DD54" w14:textId="77777777" w:rsidR="00BE785F" w:rsidRPr="00E66785" w:rsidRDefault="00BE785F" w:rsidP="00E6678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66785">
        <w:rPr>
          <w:rFonts w:ascii="Times New Roman" w:hAnsi="Times New Roman" w:cs="Times New Roman"/>
          <w:sz w:val="20"/>
          <w:szCs w:val="20"/>
        </w:rPr>
        <w:t>Os valores de AAO% e das concentrações foram relacionados utilizando o programa “Excel for Windows”, obtendo-se, para a amostra, a equação da reta, sendo possível calcular o CE</w:t>
      </w:r>
      <w:r w:rsidRPr="00E66785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E66785">
        <w:rPr>
          <w:rFonts w:ascii="Times New Roman" w:hAnsi="Times New Roman" w:cs="Times New Roman"/>
          <w:sz w:val="20"/>
          <w:szCs w:val="20"/>
        </w:rPr>
        <w:t xml:space="preserve"> que expressa a concentração efetiva que avalia a capacidade mínima de uma amostra reduzir em 50 % o DPPH. Para calcular o CE</w:t>
      </w:r>
      <w:r w:rsidRPr="00E66785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E66785">
        <w:rPr>
          <w:rFonts w:ascii="Times New Roman" w:hAnsi="Times New Roman" w:cs="Times New Roman"/>
          <w:sz w:val="20"/>
          <w:szCs w:val="20"/>
        </w:rPr>
        <w:t xml:space="preserve"> utilizou-se a equação</w:t>
      </w:r>
      <w:r w:rsidR="0086041C" w:rsidRPr="00E66785">
        <w:rPr>
          <w:rFonts w:ascii="Times New Roman" w:hAnsi="Times New Roman" w:cs="Times New Roman"/>
          <w:sz w:val="20"/>
          <w:szCs w:val="20"/>
        </w:rPr>
        <w:t>: Y</w:t>
      </w:r>
      <w:r w:rsidR="0086041C" w:rsidRPr="00E66785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="0086041C" w:rsidRPr="00E66785">
        <w:rPr>
          <w:rFonts w:ascii="Times New Roman" w:hAnsi="Times New Roman" w:cs="Times New Roman"/>
          <w:sz w:val="20"/>
          <w:szCs w:val="20"/>
        </w:rPr>
        <w:t xml:space="preserve"> = ax</w:t>
      </w:r>
      <w:r w:rsidR="0086041C" w:rsidRPr="00E66785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="0086041C" w:rsidRPr="00E66785">
        <w:rPr>
          <w:rFonts w:ascii="Times New Roman" w:hAnsi="Times New Roman" w:cs="Times New Roman"/>
          <w:sz w:val="20"/>
          <w:szCs w:val="20"/>
        </w:rPr>
        <w:t xml:space="preserve"> + b, onde Y= 50 e X= CE</w:t>
      </w:r>
      <w:r w:rsidR="0086041C" w:rsidRPr="00E66785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="0086041C" w:rsidRPr="00E667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6041C" w:rsidRPr="00E66785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="0086041C" w:rsidRPr="00E66785">
        <w:rPr>
          <w:rFonts w:ascii="Times New Roman" w:hAnsi="Times New Roman" w:cs="Times New Roman"/>
          <w:sz w:val="20"/>
          <w:szCs w:val="20"/>
        </w:rPr>
        <w:t xml:space="preserve"> mL</w:t>
      </w:r>
      <w:r w:rsidR="0086041C" w:rsidRPr="00E66785">
        <w:rPr>
          <w:rFonts w:ascii="Times New Roman" w:hAnsi="Times New Roman" w:cs="Times New Roman"/>
          <w:sz w:val="20"/>
          <w:szCs w:val="20"/>
          <w:vertAlign w:val="superscript"/>
        </w:rPr>
        <w:t>-1</w:t>
      </w:r>
    </w:p>
    <w:p w14:paraId="0175BADB" w14:textId="77777777" w:rsidR="00E66785" w:rsidRDefault="00E66785" w:rsidP="00E667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C8E2725" w14:textId="77777777" w:rsidR="00BE785F" w:rsidRPr="00E66785" w:rsidRDefault="00BE785F" w:rsidP="00E667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E66785">
        <w:rPr>
          <w:rFonts w:ascii="Times New Roman" w:hAnsi="Times New Roman" w:cs="Times New Roman"/>
          <w:b/>
          <w:sz w:val="20"/>
          <w:szCs w:val="20"/>
        </w:rPr>
        <w:t>Compostos fenólicos totais</w:t>
      </w:r>
      <w:r w:rsidRPr="00E66785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</w:p>
    <w:p w14:paraId="14808A24" w14:textId="77777777" w:rsidR="00BE785F" w:rsidRPr="00E66785" w:rsidRDefault="00455C64" w:rsidP="00E6678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bCs/>
          <w:sz w:val="20"/>
          <w:szCs w:val="20"/>
        </w:rPr>
        <w:t>Os</w:t>
      </w:r>
      <w:r w:rsidRPr="00E66785">
        <w:rPr>
          <w:rFonts w:ascii="Times New Roman" w:hAnsi="Times New Roman" w:cs="Times New Roman"/>
          <w:sz w:val="20"/>
          <w:szCs w:val="20"/>
        </w:rPr>
        <w:t xml:space="preserve"> teores de fenólicos totais foi determinado pelo</w:t>
      </w:r>
      <w:r w:rsidR="00BE785F" w:rsidRPr="00E66785">
        <w:rPr>
          <w:rFonts w:ascii="Times New Roman" w:hAnsi="Times New Roman" w:cs="Times New Roman"/>
          <w:sz w:val="20"/>
          <w:szCs w:val="20"/>
        </w:rPr>
        <w:t xml:space="preserve"> método espectrofotométrico, utilizando o reagente </w:t>
      </w:r>
      <w:proofErr w:type="spellStart"/>
      <w:r w:rsidR="00BE785F" w:rsidRPr="00E66785">
        <w:rPr>
          <w:rFonts w:ascii="Times New Roman" w:hAnsi="Times New Roman" w:cs="Times New Roman"/>
          <w:sz w:val="20"/>
          <w:szCs w:val="20"/>
        </w:rPr>
        <w:t>Folin-Ciocalteau</w:t>
      </w:r>
      <w:proofErr w:type="spellEnd"/>
      <w:r w:rsidR="00BE785F" w:rsidRPr="00E66785">
        <w:rPr>
          <w:rFonts w:ascii="Times New Roman" w:hAnsi="Times New Roman" w:cs="Times New Roman"/>
          <w:sz w:val="20"/>
          <w:szCs w:val="20"/>
        </w:rPr>
        <w:t xml:space="preserve"> (Merck), segundo metodologia descrita e por curva de calibração construída com padrões de ácido gálico (10 a 350 </w:t>
      </w:r>
      <w:proofErr w:type="spellStart"/>
      <w:r w:rsidR="00BE785F" w:rsidRPr="00E66785">
        <w:rPr>
          <w:rFonts w:ascii="Times New Roman" w:hAnsi="Times New Roman" w:cs="Times New Roman"/>
          <w:sz w:val="20"/>
          <w:szCs w:val="20"/>
        </w:rPr>
        <w:t>μg</w:t>
      </w:r>
      <w:proofErr w:type="spellEnd"/>
      <w:r w:rsidR="00BE785F" w:rsidRPr="00E6678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BE785F" w:rsidRPr="00E66785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="00BE785F" w:rsidRPr="00E66785">
        <w:rPr>
          <w:rFonts w:ascii="Times New Roman" w:hAnsi="Times New Roman" w:cs="Times New Roman"/>
          <w:sz w:val="20"/>
          <w:szCs w:val="20"/>
        </w:rPr>
        <w:t>) e expressos como mg de EAG (equivalentes de ácido gálico) por g de extrato.</w:t>
      </w:r>
    </w:p>
    <w:p w14:paraId="224041F0" w14:textId="77777777" w:rsidR="00BE785F" w:rsidRPr="00E66785" w:rsidRDefault="00BE785F" w:rsidP="00E6678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lastRenderedPageBreak/>
        <w:t>Foi obtida a curva de ácido gálico através da preparação da solução aquosa de Carbonato de Sódio (Na</w:t>
      </w:r>
      <w:r w:rsidRPr="00E6678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E66785">
        <w:rPr>
          <w:rFonts w:ascii="Times New Roman" w:hAnsi="Times New Roman" w:cs="Times New Roman"/>
          <w:sz w:val="20"/>
          <w:szCs w:val="20"/>
        </w:rPr>
        <w:t>CO</w:t>
      </w:r>
      <w:r w:rsidRPr="00E6678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66785">
        <w:rPr>
          <w:rFonts w:ascii="Times New Roman" w:hAnsi="Times New Roman" w:cs="Times New Roman"/>
          <w:sz w:val="20"/>
          <w:szCs w:val="20"/>
        </w:rPr>
        <w:t xml:space="preserve">) a 7,5% (P/V), solução aquosa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Folin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Ciocalteau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Folin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) 1:11 (V/V) e de solução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metanólica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de ácido gálico na concentração de 2mg/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. Em um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ependorf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adicionou-se, para cada concentração em triplicata, 100µL da solução teste de ácido gálico, 500µL da solução aquosa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Folin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1:11 (V/V) e 400µL da solução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metanólica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de Na</w:t>
      </w:r>
      <w:r w:rsidRPr="00E6678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E66785">
        <w:rPr>
          <w:rFonts w:ascii="Times New Roman" w:hAnsi="Times New Roman" w:cs="Times New Roman"/>
          <w:sz w:val="20"/>
          <w:szCs w:val="20"/>
        </w:rPr>
        <w:t>CO</w:t>
      </w:r>
      <w:r w:rsidRPr="00E6678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66785">
        <w:rPr>
          <w:rFonts w:ascii="Times New Roman" w:hAnsi="Times New Roman" w:cs="Times New Roman"/>
          <w:sz w:val="20"/>
          <w:szCs w:val="20"/>
        </w:rPr>
        <w:t xml:space="preserve"> a 7,5% (P/V). Em seguida agitou-se no aparelho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vortex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por 30 segundos, e transferiu-se 250µL de cada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ependorf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para a microplaca. Um branco foi preparado para zerar o espectrofotômetro que consistiu na adição de 100µL do solvente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MeOH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, 500µL da solução aquosa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Folin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1:11 (V/V) e 400µL da solução aquosa de Na</w:t>
      </w:r>
      <w:r w:rsidRPr="00E6678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E66785">
        <w:rPr>
          <w:rFonts w:ascii="Times New Roman" w:hAnsi="Times New Roman" w:cs="Times New Roman"/>
          <w:sz w:val="20"/>
          <w:szCs w:val="20"/>
        </w:rPr>
        <w:t>CO</w:t>
      </w:r>
      <w:r w:rsidRPr="00E6678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66785">
        <w:rPr>
          <w:rFonts w:ascii="Times New Roman" w:hAnsi="Times New Roman" w:cs="Times New Roman"/>
          <w:sz w:val="20"/>
          <w:szCs w:val="20"/>
        </w:rPr>
        <w:t xml:space="preserve"> a 7,5% (P/V). A microplaca manteve-se por 2 horas em ambiente escuro, para posteriores leituras de absorbância no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espectofotômetro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a 740nm, sendo antes zerado com branco.</w:t>
      </w:r>
    </w:p>
    <w:p w14:paraId="162E4E86" w14:textId="77777777" w:rsidR="00BE785F" w:rsidRPr="00E66785" w:rsidRDefault="00BE785F" w:rsidP="00E6678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 xml:space="preserve">O teor de fenóis totais da amostra vegetal foi determinado através da pesagem de 1mg da amostra diluída em 1mL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MeOH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>, obtendo a solução da amostra a 1 mg/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. O teste foi realizado em triplicata onde adicionou-se em cada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ependorf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100µL de solução teste da amostra, 500µL da solução aquosa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Folin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1:11 (V/V) e 400µL da solução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metanólica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de Na</w:t>
      </w:r>
      <w:r w:rsidRPr="00E6678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E66785">
        <w:rPr>
          <w:rFonts w:ascii="Times New Roman" w:hAnsi="Times New Roman" w:cs="Times New Roman"/>
          <w:sz w:val="20"/>
          <w:szCs w:val="20"/>
        </w:rPr>
        <w:t>CO</w:t>
      </w:r>
      <w:r w:rsidRPr="00E6678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66785">
        <w:rPr>
          <w:rFonts w:ascii="Times New Roman" w:hAnsi="Times New Roman" w:cs="Times New Roman"/>
          <w:sz w:val="20"/>
          <w:szCs w:val="20"/>
        </w:rPr>
        <w:t xml:space="preserve"> a 7,5% (P/V). Prontamente agitou-se no aparelho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vortex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por 30 segundos e foi transferido 250 µL de cada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ependorf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para o poço da microplaca. Mantendo-se também em ambiente escuro por 2 horas e após foi realizada leitura no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espectofotômetro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a 740nm.</w:t>
      </w:r>
    </w:p>
    <w:p w14:paraId="09871A9A" w14:textId="77777777" w:rsidR="00BE785F" w:rsidRPr="00E66785" w:rsidRDefault="00BE785F" w:rsidP="00E6678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>O teor de fenóis totais foi determinado pelas absorbâncias da solução de leitura da amostra, contra a curva de calibração do ácido gálico (substituição na equação da reta) e expressos como em mg de EAG (equivalentes de ácido gálico) por g de extrato. Obtendo-se a seguinte equação:</w:t>
      </w:r>
      <w:r w:rsidR="00455C64" w:rsidRPr="00E66785">
        <w:rPr>
          <w:rFonts w:ascii="Times New Roman" w:hAnsi="Times New Roman" w:cs="Times New Roman"/>
          <w:sz w:val="20"/>
          <w:szCs w:val="20"/>
        </w:rPr>
        <w:t xml:space="preserve"> </w:t>
      </w:r>
      <w:r w:rsidRPr="00E66785">
        <w:rPr>
          <w:rFonts w:ascii="Times New Roman" w:hAnsi="Times New Roman" w:cs="Times New Roman"/>
          <w:sz w:val="20"/>
          <w:szCs w:val="20"/>
        </w:rPr>
        <w:t>Y</w:t>
      </w:r>
      <w:r w:rsidRPr="00E66785">
        <w:rPr>
          <w:rFonts w:ascii="Times New Roman" w:hAnsi="Times New Roman" w:cs="Times New Roman"/>
          <w:sz w:val="20"/>
          <w:szCs w:val="20"/>
          <w:vertAlign w:val="subscript"/>
        </w:rPr>
        <w:t xml:space="preserve">2 = </w:t>
      </w:r>
      <w:r w:rsidRPr="00E66785">
        <w:rPr>
          <w:rFonts w:ascii="Times New Roman" w:hAnsi="Times New Roman" w:cs="Times New Roman"/>
          <w:sz w:val="20"/>
          <w:szCs w:val="20"/>
        </w:rPr>
        <w:t>cx</w:t>
      </w:r>
      <w:r w:rsidRPr="00E66785">
        <w:rPr>
          <w:rFonts w:ascii="Times New Roman" w:hAnsi="Times New Roman" w:cs="Times New Roman"/>
          <w:sz w:val="20"/>
          <w:szCs w:val="20"/>
          <w:vertAlign w:val="subscript"/>
        </w:rPr>
        <w:t xml:space="preserve">2 </w:t>
      </w:r>
      <w:r w:rsidRPr="00E66785">
        <w:rPr>
          <w:rFonts w:ascii="Times New Roman" w:hAnsi="Times New Roman" w:cs="Times New Roman"/>
          <w:sz w:val="20"/>
          <w:szCs w:val="20"/>
        </w:rPr>
        <w:t>+ d</w:t>
      </w:r>
      <w:r w:rsidR="00455C64" w:rsidRPr="00E66785">
        <w:rPr>
          <w:rFonts w:ascii="Times New Roman" w:hAnsi="Times New Roman" w:cs="Times New Roman"/>
          <w:sz w:val="20"/>
          <w:szCs w:val="20"/>
        </w:rPr>
        <w:t>, sendo</w:t>
      </w:r>
      <w:r w:rsidRPr="00E66785">
        <w:rPr>
          <w:rFonts w:ascii="Times New Roman" w:hAnsi="Times New Roman" w:cs="Times New Roman"/>
          <w:sz w:val="20"/>
          <w:szCs w:val="20"/>
        </w:rPr>
        <w:t xml:space="preserve"> y</w:t>
      </w:r>
      <w:r w:rsidRPr="00E6678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E66785">
        <w:rPr>
          <w:rFonts w:ascii="Times New Roman" w:hAnsi="Times New Roman" w:cs="Times New Roman"/>
          <w:sz w:val="20"/>
          <w:szCs w:val="20"/>
        </w:rPr>
        <w:t xml:space="preserve"> = absorbância da amostra; x</w:t>
      </w:r>
      <w:r w:rsidRPr="00E6678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E66785">
        <w:rPr>
          <w:rFonts w:ascii="Times New Roman" w:hAnsi="Times New Roman" w:cs="Times New Roman"/>
          <w:sz w:val="20"/>
          <w:szCs w:val="20"/>
        </w:rPr>
        <w:t xml:space="preserve"> = concentração de ácido gálico ou teor de fenóis totais expressos em mg de EAG/g do extrato; c e d os valores dos parâmetros a serem estimados. </w:t>
      </w:r>
    </w:p>
    <w:p w14:paraId="1F142C59" w14:textId="77777777" w:rsidR="00E66785" w:rsidRDefault="00E66785" w:rsidP="00E667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3F61C79" w14:textId="77777777" w:rsidR="00BE785F" w:rsidRPr="00E66785" w:rsidRDefault="00BE785F" w:rsidP="00E667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6785">
        <w:rPr>
          <w:rFonts w:ascii="Times New Roman" w:hAnsi="Times New Roman" w:cs="Times New Roman"/>
          <w:b/>
          <w:sz w:val="20"/>
          <w:szCs w:val="20"/>
        </w:rPr>
        <w:t xml:space="preserve">Quantificação de </w:t>
      </w:r>
      <w:proofErr w:type="spellStart"/>
      <w:r w:rsidRPr="00E66785">
        <w:rPr>
          <w:rFonts w:ascii="Times New Roman" w:hAnsi="Times New Roman" w:cs="Times New Roman"/>
          <w:b/>
          <w:sz w:val="20"/>
          <w:szCs w:val="20"/>
        </w:rPr>
        <w:t>flavonóides</w:t>
      </w:r>
      <w:proofErr w:type="spellEnd"/>
    </w:p>
    <w:p w14:paraId="73AF30BF" w14:textId="77777777" w:rsidR="00BE785F" w:rsidRPr="00E66785" w:rsidRDefault="00455C64" w:rsidP="00E6678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</w:t>
      </w:r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quantificação de </w:t>
      </w:r>
      <w:proofErr w:type="spellStart"/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>flavonóides</w:t>
      </w:r>
      <w:proofErr w:type="spellEnd"/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foi realizad</w:t>
      </w:r>
      <w:r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em microplacas, com a </w:t>
      </w:r>
      <w:proofErr w:type="spellStart"/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>quercetina</w:t>
      </w:r>
      <w:proofErr w:type="spellEnd"/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sendo usada como referência. Uma solução </w:t>
      </w:r>
      <w:proofErr w:type="spellStart"/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>metanólica</w:t>
      </w:r>
      <w:proofErr w:type="spellEnd"/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cloreto de alumínio a 2% (P/V) foi preparada e outra de </w:t>
      </w:r>
      <w:proofErr w:type="spellStart"/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>quercetina</w:t>
      </w:r>
      <w:proofErr w:type="spellEnd"/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pesando-se 1mg de </w:t>
      </w:r>
      <w:proofErr w:type="spellStart"/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>quercetina</w:t>
      </w:r>
      <w:proofErr w:type="spellEnd"/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diluído em 1 </w:t>
      </w:r>
      <w:proofErr w:type="spellStart"/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>mL</w:t>
      </w:r>
      <w:proofErr w:type="spellEnd"/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>MeOH</w:t>
      </w:r>
      <w:proofErr w:type="spellEnd"/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chegando a concentração final de 1mg/</w:t>
      </w:r>
      <w:proofErr w:type="spellStart"/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>mL</w:t>
      </w:r>
      <w:proofErr w:type="spellEnd"/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Para construção da curva de calibração de </w:t>
      </w:r>
      <w:proofErr w:type="spellStart"/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>quercetina</w:t>
      </w:r>
      <w:proofErr w:type="spellEnd"/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>, as soluções foram usadas nas concentrações que variaram de 0,03 mg/</w:t>
      </w:r>
      <w:proofErr w:type="spellStart"/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>mL</w:t>
      </w:r>
      <w:proofErr w:type="spellEnd"/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à 0,00125 mg/</w:t>
      </w:r>
      <w:proofErr w:type="spellStart"/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>mL</w:t>
      </w:r>
      <w:proofErr w:type="spellEnd"/>
      <w:r w:rsidR="00BE785F"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22EE0F5E" w14:textId="77777777" w:rsidR="00BE785F" w:rsidRPr="00E66785" w:rsidRDefault="00BE785F" w:rsidP="00E6678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66785">
        <w:rPr>
          <w:rFonts w:ascii="Times New Roman" w:hAnsi="Times New Roman" w:cs="Times New Roman"/>
          <w:color w:val="000000" w:themeColor="text1"/>
          <w:sz w:val="20"/>
          <w:szCs w:val="20"/>
        </w:rPr>
        <w:t>Em cada poço da microplaca foi adicionado 200</w:t>
      </w:r>
      <w:r w:rsidRPr="00E66785">
        <w:rPr>
          <w:rFonts w:ascii="Times New Roman" w:hAnsi="Times New Roman" w:cs="Times New Roman"/>
          <w:sz w:val="20"/>
          <w:szCs w:val="20"/>
        </w:rPr>
        <w:t xml:space="preserve">µL da solução teste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quercetina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, e 100µL da solução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metanólica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de cloreto de alumínio a 2%, em triplicata para o preparo da placa para leitura e construção da curva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quercetina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. Um branco foi realizado adicionando 200µL do solvente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MeOH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e 100µL da solução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metanólica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de cloreto de alumínio a 2%.</w:t>
      </w:r>
    </w:p>
    <w:p w14:paraId="21D045EB" w14:textId="77777777" w:rsidR="00BE785F" w:rsidRPr="00E66785" w:rsidRDefault="00BE785F" w:rsidP="00E667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 xml:space="preserve">Para a solução de leitura da amostra vegetal, pesou-se 1mg de amostra de </w:t>
      </w:r>
      <w:r w:rsidRPr="00E66785">
        <w:rPr>
          <w:rFonts w:ascii="Times New Roman" w:hAnsi="Times New Roman" w:cs="Times New Roman"/>
          <w:i/>
          <w:sz w:val="20"/>
          <w:szCs w:val="20"/>
        </w:rPr>
        <w:t xml:space="preserve">C. </w:t>
      </w:r>
      <w:proofErr w:type="spellStart"/>
      <w:r w:rsidRPr="00E66785">
        <w:rPr>
          <w:rFonts w:ascii="Times New Roman" w:hAnsi="Times New Roman" w:cs="Times New Roman"/>
          <w:i/>
          <w:sz w:val="20"/>
          <w:szCs w:val="20"/>
        </w:rPr>
        <w:t>tapia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, diluindo-as em 1mL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MeOH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>, obtendo concentração de 1mg/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>, A análise foi realizada em triplicata adicionando em cada poço da microplaca 200µL de solução teste da amostra vegetal (1mg/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) e 100µL da solução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metanólica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de cloreto de alumínio a 2%, o solvente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MeOH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foi utilizado como branco. A placa foi mantida em ambiente escuro por 30 minutos e posteriormente foi realizada a leitura da absorbância num espectrofotômetro UV-VIS 420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nm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>.</w:t>
      </w:r>
    </w:p>
    <w:p w14:paraId="4E1707C3" w14:textId="77777777" w:rsidR="00BE785F" w:rsidRPr="00E66785" w:rsidRDefault="00BE785F" w:rsidP="00E6678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lastRenderedPageBreak/>
        <w:t xml:space="preserve">O teor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flavonóides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é determinado pela absorbância da amostra, contra a curva de calibração do ácido gálico (substituição da equação da reta) e expressos como mg de EQ (equivalente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quercetina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>) por mg do extrato.  Obtendo-se a seguinte equação:</w:t>
      </w:r>
      <w:r w:rsidR="00455C64" w:rsidRPr="00E66785">
        <w:rPr>
          <w:rFonts w:ascii="Times New Roman" w:hAnsi="Times New Roman" w:cs="Times New Roman"/>
          <w:sz w:val="20"/>
          <w:szCs w:val="20"/>
        </w:rPr>
        <w:t xml:space="preserve"> </w:t>
      </w:r>
      <w:r w:rsidRPr="00E66785">
        <w:rPr>
          <w:rFonts w:ascii="Times New Roman" w:hAnsi="Times New Roman" w:cs="Times New Roman"/>
          <w:sz w:val="20"/>
          <w:szCs w:val="20"/>
        </w:rPr>
        <w:t>Y</w:t>
      </w:r>
      <w:r w:rsidRPr="00E66785">
        <w:rPr>
          <w:rFonts w:ascii="Times New Roman" w:hAnsi="Times New Roman" w:cs="Times New Roman"/>
          <w:sz w:val="20"/>
          <w:szCs w:val="20"/>
          <w:vertAlign w:val="subscript"/>
        </w:rPr>
        <w:t xml:space="preserve">3 = </w:t>
      </w:r>
      <w:r w:rsidRPr="00E66785">
        <w:rPr>
          <w:rFonts w:ascii="Times New Roman" w:hAnsi="Times New Roman" w:cs="Times New Roman"/>
          <w:sz w:val="20"/>
          <w:szCs w:val="20"/>
        </w:rPr>
        <w:t>ex</w:t>
      </w:r>
      <w:r w:rsidRPr="00E66785">
        <w:rPr>
          <w:rFonts w:ascii="Times New Roman" w:hAnsi="Times New Roman" w:cs="Times New Roman"/>
          <w:sz w:val="20"/>
          <w:szCs w:val="20"/>
          <w:vertAlign w:val="subscript"/>
        </w:rPr>
        <w:t xml:space="preserve">3 </w:t>
      </w:r>
      <w:r w:rsidRPr="00E66785">
        <w:rPr>
          <w:rFonts w:ascii="Times New Roman" w:hAnsi="Times New Roman" w:cs="Times New Roman"/>
          <w:sz w:val="20"/>
          <w:szCs w:val="20"/>
        </w:rPr>
        <w:t>+ f</w:t>
      </w:r>
      <w:r w:rsidR="00455C64" w:rsidRPr="00E66785">
        <w:rPr>
          <w:rFonts w:ascii="Times New Roman" w:hAnsi="Times New Roman" w:cs="Times New Roman"/>
          <w:sz w:val="20"/>
          <w:szCs w:val="20"/>
        </w:rPr>
        <w:t xml:space="preserve">, sendo </w:t>
      </w:r>
      <w:r w:rsidRPr="00E66785">
        <w:rPr>
          <w:rFonts w:ascii="Times New Roman" w:hAnsi="Times New Roman" w:cs="Times New Roman"/>
          <w:sz w:val="20"/>
          <w:szCs w:val="20"/>
        </w:rPr>
        <w:t>y</w:t>
      </w:r>
      <w:r w:rsidRPr="00E6678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66785">
        <w:rPr>
          <w:rFonts w:ascii="Times New Roman" w:hAnsi="Times New Roman" w:cs="Times New Roman"/>
          <w:sz w:val="20"/>
          <w:szCs w:val="20"/>
        </w:rPr>
        <w:t xml:space="preserve"> = absorbância da amostra; x</w:t>
      </w:r>
      <w:r w:rsidRPr="00E6678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66785">
        <w:rPr>
          <w:rFonts w:ascii="Times New Roman" w:hAnsi="Times New Roman" w:cs="Times New Roman"/>
          <w:sz w:val="20"/>
          <w:szCs w:val="20"/>
        </w:rPr>
        <w:t xml:space="preserve"> = concentração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flavonóides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, expresso em mg de EQ/g do extrato; </w:t>
      </w:r>
      <w:r w:rsidRPr="00E66785">
        <w:rPr>
          <w:rFonts w:ascii="Times New Roman" w:hAnsi="Times New Roman" w:cs="Times New Roman"/>
          <w:i/>
          <w:sz w:val="20"/>
          <w:szCs w:val="20"/>
        </w:rPr>
        <w:t>e</w:t>
      </w:r>
      <w:r w:rsidRPr="00E667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</w:t>
      </w:r>
      <w:r w:rsidRPr="00E66785">
        <w:rPr>
          <w:rFonts w:ascii="Times New Roman" w:hAnsi="Times New Roman" w:cs="Times New Roman"/>
          <w:i/>
          <w:sz w:val="20"/>
          <w:szCs w:val="20"/>
        </w:rPr>
        <w:t>f</w:t>
      </w:r>
      <w:r w:rsidRPr="00E66785">
        <w:rPr>
          <w:rFonts w:ascii="Times New Roman" w:hAnsi="Times New Roman" w:cs="Times New Roman"/>
          <w:sz w:val="20"/>
          <w:szCs w:val="20"/>
        </w:rPr>
        <w:t xml:space="preserve"> os valores dos parâmetros a serem estimados.</w:t>
      </w:r>
    </w:p>
    <w:p w14:paraId="649190F0" w14:textId="77777777" w:rsidR="00E66785" w:rsidRDefault="00E66785" w:rsidP="00E667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3F7243DE" w14:textId="77777777" w:rsidR="00BE785F" w:rsidRPr="00E66785" w:rsidRDefault="00BE785F" w:rsidP="00E667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66785">
        <w:rPr>
          <w:rFonts w:ascii="Times New Roman" w:hAnsi="Times New Roman" w:cs="Times New Roman"/>
          <w:b/>
          <w:bCs/>
          <w:sz w:val="20"/>
          <w:szCs w:val="20"/>
        </w:rPr>
        <w:t xml:space="preserve">Atividade </w:t>
      </w:r>
      <w:proofErr w:type="spellStart"/>
      <w:r w:rsidRPr="00E66785">
        <w:rPr>
          <w:rFonts w:ascii="Times New Roman" w:hAnsi="Times New Roman" w:cs="Times New Roman"/>
          <w:b/>
          <w:bCs/>
          <w:sz w:val="20"/>
          <w:szCs w:val="20"/>
        </w:rPr>
        <w:t>Alelopática</w:t>
      </w:r>
      <w:proofErr w:type="spellEnd"/>
    </w:p>
    <w:p w14:paraId="1DA27F15" w14:textId="0BD38A84" w:rsidR="0086041C" w:rsidRPr="00E66785" w:rsidRDefault="00BE785F" w:rsidP="00E6678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 xml:space="preserve">Os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bioensaios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alelopáticos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foram realizados com a aplicação dos extratos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etanólico</w:t>
      </w:r>
      <w:proofErr w:type="spellEnd"/>
      <w:r w:rsidRPr="00E6678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66785">
        <w:rPr>
          <w:rFonts w:ascii="Times New Roman" w:hAnsi="Times New Roman" w:cs="Times New Roman"/>
          <w:sz w:val="20"/>
          <w:szCs w:val="20"/>
        </w:rPr>
        <w:t>sobre as sementes de alface</w:t>
      </w:r>
      <w:r w:rsidR="0086041C" w:rsidRPr="00E6678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86041C" w:rsidRPr="00E66785">
        <w:rPr>
          <w:rFonts w:ascii="Times New Roman" w:hAnsi="Times New Roman" w:cs="Times New Roman"/>
          <w:i/>
          <w:sz w:val="20"/>
          <w:szCs w:val="20"/>
        </w:rPr>
        <w:t>Lactuca</w:t>
      </w:r>
      <w:proofErr w:type="spellEnd"/>
      <w:r w:rsidR="0086041C" w:rsidRPr="00E66785">
        <w:rPr>
          <w:rFonts w:ascii="Times New Roman" w:hAnsi="Times New Roman" w:cs="Times New Roman"/>
          <w:i/>
          <w:sz w:val="20"/>
          <w:szCs w:val="20"/>
        </w:rPr>
        <w:t xml:space="preserve"> sativa</w:t>
      </w:r>
      <w:r w:rsidR="0086041C" w:rsidRPr="00E66785">
        <w:rPr>
          <w:rFonts w:ascii="Times New Roman" w:hAnsi="Times New Roman" w:cs="Times New Roman"/>
          <w:sz w:val="20"/>
          <w:szCs w:val="20"/>
        </w:rPr>
        <w:t>)</w:t>
      </w:r>
      <w:r w:rsidRPr="00E66785">
        <w:rPr>
          <w:rFonts w:ascii="Times New Roman" w:hAnsi="Times New Roman" w:cs="Times New Roman"/>
          <w:sz w:val="20"/>
          <w:szCs w:val="20"/>
        </w:rPr>
        <w:t xml:space="preserve">. </w:t>
      </w:r>
      <w:r w:rsidR="0086041C" w:rsidRPr="00E66785">
        <w:rPr>
          <w:rFonts w:ascii="Times New Roman" w:hAnsi="Times New Roman" w:cs="Times New Roman"/>
          <w:sz w:val="20"/>
          <w:szCs w:val="20"/>
        </w:rPr>
        <w:t xml:space="preserve"> Após a evaporação do solvente, foi pesado 2,5 g da massa bruta do extrato </w:t>
      </w:r>
      <w:proofErr w:type="spellStart"/>
      <w:r w:rsidR="0086041C" w:rsidRPr="00E66785">
        <w:rPr>
          <w:rFonts w:ascii="Times New Roman" w:hAnsi="Times New Roman" w:cs="Times New Roman"/>
          <w:sz w:val="20"/>
          <w:szCs w:val="20"/>
        </w:rPr>
        <w:t>etanólico</w:t>
      </w:r>
      <w:proofErr w:type="spellEnd"/>
      <w:r w:rsidR="0086041C" w:rsidRPr="00E66785">
        <w:rPr>
          <w:rFonts w:ascii="Times New Roman" w:hAnsi="Times New Roman" w:cs="Times New Roman"/>
          <w:sz w:val="20"/>
          <w:szCs w:val="20"/>
        </w:rPr>
        <w:t xml:space="preserve"> das folhas de </w:t>
      </w:r>
      <w:proofErr w:type="spellStart"/>
      <w:r w:rsidR="0086041C" w:rsidRPr="00E66785">
        <w:rPr>
          <w:rFonts w:ascii="Times New Roman" w:hAnsi="Times New Roman" w:cs="Times New Roman"/>
          <w:sz w:val="20"/>
          <w:szCs w:val="20"/>
        </w:rPr>
        <w:t>Trapiá</w:t>
      </w:r>
      <w:proofErr w:type="spellEnd"/>
      <w:r w:rsidR="0086041C" w:rsidRPr="00E66785">
        <w:rPr>
          <w:rFonts w:ascii="Times New Roman" w:hAnsi="Times New Roman" w:cs="Times New Roman"/>
          <w:sz w:val="20"/>
          <w:szCs w:val="20"/>
        </w:rPr>
        <w:t xml:space="preserve"> e mesclados com 0,5 </w:t>
      </w:r>
      <w:proofErr w:type="spellStart"/>
      <w:r w:rsidR="0086041C" w:rsidRPr="00E66785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="0086041C" w:rsidRPr="00E66785">
        <w:rPr>
          <w:rFonts w:ascii="Times New Roman" w:hAnsi="Times New Roman" w:cs="Times New Roman"/>
          <w:sz w:val="20"/>
          <w:szCs w:val="20"/>
        </w:rPr>
        <w:t xml:space="preserve"> de DMSO e 0,5 </w:t>
      </w:r>
      <w:proofErr w:type="spellStart"/>
      <w:r w:rsidR="0086041C" w:rsidRPr="00E66785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="0086041C" w:rsidRPr="00E66785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86041C" w:rsidRPr="00E66785">
        <w:rPr>
          <w:rFonts w:ascii="Times New Roman" w:hAnsi="Times New Roman" w:cs="Times New Roman"/>
          <w:sz w:val="20"/>
          <w:szCs w:val="20"/>
        </w:rPr>
        <w:t>Tween</w:t>
      </w:r>
      <w:proofErr w:type="spellEnd"/>
      <w:r w:rsidR="0086041C" w:rsidRPr="00E66785">
        <w:rPr>
          <w:rFonts w:ascii="Times New Roman" w:hAnsi="Times New Roman" w:cs="Times New Roman"/>
          <w:sz w:val="20"/>
          <w:szCs w:val="20"/>
        </w:rPr>
        <w:t xml:space="preserve"> 20 para a diluição em 500 </w:t>
      </w:r>
      <w:proofErr w:type="spellStart"/>
      <w:r w:rsidR="0086041C" w:rsidRPr="00E66785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="0086041C" w:rsidRPr="00E66785">
        <w:rPr>
          <w:rFonts w:ascii="Times New Roman" w:hAnsi="Times New Roman" w:cs="Times New Roman"/>
          <w:sz w:val="20"/>
          <w:szCs w:val="20"/>
        </w:rPr>
        <w:t xml:space="preserve"> de água destilada, obtendo-se assim o extrato bruto na concentração 100%. A partir deste, </w:t>
      </w:r>
      <w:r w:rsidR="00557677">
        <w:rPr>
          <w:rFonts w:ascii="Times New Roman" w:hAnsi="Times New Roman" w:cs="Times New Roman"/>
          <w:sz w:val="20"/>
          <w:szCs w:val="20"/>
        </w:rPr>
        <w:t xml:space="preserve">foram realizadas </w:t>
      </w:r>
      <w:r w:rsidR="0086041C" w:rsidRPr="00E66785">
        <w:rPr>
          <w:rFonts w:ascii="Times New Roman" w:hAnsi="Times New Roman" w:cs="Times New Roman"/>
          <w:sz w:val="20"/>
          <w:szCs w:val="20"/>
        </w:rPr>
        <w:t>diluições dos extratos</w:t>
      </w:r>
      <w:r w:rsidR="00557677">
        <w:rPr>
          <w:rFonts w:ascii="Times New Roman" w:hAnsi="Times New Roman" w:cs="Times New Roman"/>
          <w:sz w:val="20"/>
          <w:szCs w:val="20"/>
        </w:rPr>
        <w:t xml:space="preserve"> para compor os tratamentos nas dosagens de 0,0 (controle- água destilada); 0,2; 0,4; 0,6; 0,8 e 1,0 com</w:t>
      </w:r>
      <w:r w:rsidR="0086041C" w:rsidRPr="00E66785">
        <w:rPr>
          <w:rFonts w:ascii="Times New Roman" w:hAnsi="Times New Roman" w:cs="Times New Roman"/>
          <w:sz w:val="20"/>
          <w:szCs w:val="20"/>
        </w:rPr>
        <w:t xml:space="preserve"> cinco repetições. </w:t>
      </w:r>
    </w:p>
    <w:p w14:paraId="7DF1FD86" w14:textId="77777777" w:rsidR="00BE785F" w:rsidRPr="00E66785" w:rsidRDefault="00BE785F" w:rsidP="00E6678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 xml:space="preserve">Para os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bioensaios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de germinação, os extratos foram aplicados sobre placas de Petri, sendo disponibilizadas 25 sementes em cada placa, distribuídas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equidistantemente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sobre uma camada de papel filtro. Cada placa recebeu 5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do seu respectivo tratamen</w:t>
      </w:r>
      <w:r w:rsidR="0086041C" w:rsidRPr="00E66785">
        <w:rPr>
          <w:rFonts w:ascii="Times New Roman" w:hAnsi="Times New Roman" w:cs="Times New Roman"/>
          <w:sz w:val="20"/>
          <w:szCs w:val="20"/>
        </w:rPr>
        <w:t>to, antes da semeadura. As</w:t>
      </w:r>
      <w:r w:rsidRPr="00E66785">
        <w:rPr>
          <w:rFonts w:ascii="Times New Roman" w:hAnsi="Times New Roman" w:cs="Times New Roman"/>
          <w:sz w:val="20"/>
          <w:szCs w:val="20"/>
        </w:rPr>
        <w:t xml:space="preserve"> placas foram mantidas sob fotoperíodo de 12 h e temperatura de ± 26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ºC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. </w:t>
      </w:r>
      <w:r w:rsidR="0086041C" w:rsidRPr="00E66785">
        <w:rPr>
          <w:rFonts w:ascii="Times New Roman" w:hAnsi="Times New Roman" w:cs="Times New Roman"/>
          <w:sz w:val="20"/>
          <w:szCs w:val="20"/>
        </w:rPr>
        <w:t>O efeito alelopático foi avaliado pela contagem de germinação</w:t>
      </w:r>
      <w:r w:rsidRPr="00E66785">
        <w:rPr>
          <w:rFonts w:ascii="Times New Roman" w:hAnsi="Times New Roman" w:cs="Times New Roman"/>
          <w:sz w:val="20"/>
          <w:szCs w:val="20"/>
        </w:rPr>
        <w:t xml:space="preserve"> após 1</w:t>
      </w:r>
      <w:r w:rsidR="0086041C" w:rsidRPr="00E66785">
        <w:rPr>
          <w:rFonts w:ascii="Times New Roman" w:hAnsi="Times New Roman" w:cs="Times New Roman"/>
          <w:sz w:val="20"/>
          <w:szCs w:val="20"/>
        </w:rPr>
        <w:t>44 h da aplicação dos extratos.</w:t>
      </w:r>
    </w:p>
    <w:p w14:paraId="47980706" w14:textId="77777777" w:rsidR="00BE785F" w:rsidRPr="00E66785" w:rsidRDefault="00BE785F" w:rsidP="00E6678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 xml:space="preserve">Os resultados das avaliações foram submetidos a análise da variância e as médias comparadas com a do tratamento testemunha por intermédio do teste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Dunnett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a 5% de probabilidade. A análise estatística foi realizada no Programa SAEG 9.1.</w:t>
      </w:r>
    </w:p>
    <w:p w14:paraId="2E524912" w14:textId="77777777" w:rsidR="000F5C52" w:rsidRDefault="000F5C52" w:rsidP="005F0636">
      <w:pPr>
        <w:pStyle w:val="PargrafodaLista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5CA13DA" w14:textId="42FB2C0B" w:rsidR="0086041C" w:rsidRPr="008F3343" w:rsidRDefault="00B42081" w:rsidP="00E66785">
      <w:pPr>
        <w:pStyle w:val="Default"/>
        <w:spacing w:line="360" w:lineRule="auto"/>
        <w:contextualSpacing/>
        <w:jc w:val="both"/>
        <w:rPr>
          <w:b/>
        </w:rPr>
      </w:pPr>
      <w:r>
        <w:rPr>
          <w:b/>
        </w:rPr>
        <w:t>3.</w:t>
      </w:r>
      <w:r w:rsidR="0086041C" w:rsidRPr="00112323">
        <w:rPr>
          <w:b/>
        </w:rPr>
        <w:t>RESULTADOS E DISCUSSÃO</w:t>
      </w:r>
    </w:p>
    <w:p w14:paraId="546863A4" w14:textId="77777777" w:rsidR="0086041C" w:rsidRDefault="0086041C" w:rsidP="00E667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 xml:space="preserve">A prospecção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fitoquímica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preliminar do extrato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etanólico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das folhas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trapiá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revelou a presença de taninos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flobafênicos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, flavonas, flavononas, flavonóis, xantonas, esteroides,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triterpenóides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e saponinas (Tabela 1). Estes compostos são conhecidos por serem ativos farmacologicamente e, por conseguinte, explicam as atividades biológicas de </w:t>
      </w:r>
      <w:proofErr w:type="spellStart"/>
      <w:r w:rsidRPr="00E66785">
        <w:rPr>
          <w:rFonts w:ascii="Times New Roman" w:hAnsi="Times New Roman" w:cs="Times New Roman"/>
          <w:i/>
          <w:sz w:val="20"/>
          <w:szCs w:val="20"/>
        </w:rPr>
        <w:t>Crataeva</w:t>
      </w:r>
      <w:proofErr w:type="spellEnd"/>
      <w:r w:rsidRPr="00E6678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66785">
        <w:rPr>
          <w:rFonts w:ascii="Times New Roman" w:hAnsi="Times New Roman" w:cs="Times New Roman"/>
          <w:i/>
          <w:sz w:val="20"/>
          <w:szCs w:val="20"/>
        </w:rPr>
        <w:t>tapia</w:t>
      </w:r>
      <w:proofErr w:type="spellEnd"/>
      <w:r w:rsidRPr="00E6678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66785">
        <w:rPr>
          <w:rFonts w:ascii="Times New Roman" w:hAnsi="Times New Roman" w:cs="Times New Roman"/>
          <w:sz w:val="20"/>
          <w:szCs w:val="20"/>
        </w:rPr>
        <w:t>L</w:t>
      </w:r>
      <w:r w:rsidRPr="00E66785">
        <w:rPr>
          <w:rFonts w:ascii="Times New Roman" w:hAnsi="Times New Roman" w:cs="Times New Roman"/>
          <w:sz w:val="20"/>
          <w:szCs w:val="20"/>
        </w:rPr>
        <w:t xml:space="preserve">. Resultados semelhantes foram obtidos por Silva e Coelho (2014) que também constataram a presença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triterpenos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e esteroides em extratos desta espécie. Porém, não detectaram a presença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flavonóide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, tanino e saponinas. Cabral et al. (2015) usando extrato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hidroetanolico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da casca do caule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trapiá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detectaram a presença fenóis, flavonas,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flavonóides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, xantonas. </w:t>
      </w:r>
    </w:p>
    <w:p w14:paraId="3BBF4FD1" w14:textId="5A332469" w:rsidR="00B71BB5" w:rsidRDefault="00557677" w:rsidP="005576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>Os resultados obtidos evidenciam o potencial químico que as espécies do gênero apresentam como os ob</w:t>
      </w:r>
      <w:r>
        <w:rPr>
          <w:rFonts w:ascii="Times New Roman" w:hAnsi="Times New Roman" w:cs="Times New Roman"/>
          <w:sz w:val="20"/>
          <w:szCs w:val="20"/>
        </w:rPr>
        <w:t xml:space="preserve">tidos por </w:t>
      </w:r>
      <w:proofErr w:type="spellStart"/>
      <w:r>
        <w:rPr>
          <w:rFonts w:ascii="Times New Roman" w:hAnsi="Times New Roman" w:cs="Times New Roman"/>
          <w:sz w:val="20"/>
          <w:szCs w:val="20"/>
        </w:rPr>
        <w:t>Sikarwar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 Patil </w:t>
      </w:r>
      <w:r w:rsidR="00A9758E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2010</w:t>
      </w:r>
      <w:r w:rsidR="00A9758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e</w:t>
      </w:r>
      <w:r w:rsidRPr="00E6678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Patil e </w:t>
      </w:r>
      <w:proofErr w:type="spellStart"/>
      <w:r w:rsidR="00A9758E">
        <w:rPr>
          <w:rFonts w:ascii="Times New Roman" w:hAnsi="Times New Roman" w:cs="Times New Roman"/>
          <w:sz w:val="20"/>
          <w:szCs w:val="20"/>
        </w:rPr>
        <w:t>Gaikwad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9758E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2012</w:t>
      </w:r>
      <w:r w:rsidR="00A9758E">
        <w:rPr>
          <w:rFonts w:ascii="Times New Roman" w:hAnsi="Times New Roman" w:cs="Times New Roman"/>
          <w:sz w:val="20"/>
          <w:szCs w:val="20"/>
        </w:rPr>
        <w:t>)</w:t>
      </w:r>
      <w:r w:rsidRPr="00E66785">
        <w:rPr>
          <w:rFonts w:ascii="Times New Roman" w:hAnsi="Times New Roman" w:cs="Times New Roman"/>
          <w:sz w:val="20"/>
          <w:szCs w:val="20"/>
        </w:rPr>
        <w:t xml:space="preserve"> que detectaram a presença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triterpenóides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flavonóides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>, taninos, esteroides, fenó</w:t>
      </w:r>
      <w:r w:rsidR="00A9758E">
        <w:rPr>
          <w:rFonts w:ascii="Times New Roman" w:hAnsi="Times New Roman" w:cs="Times New Roman"/>
          <w:sz w:val="20"/>
          <w:szCs w:val="20"/>
        </w:rPr>
        <w:t xml:space="preserve">is, flavonóis e saponinas. Já </w:t>
      </w:r>
      <w:proofErr w:type="spellStart"/>
      <w:r w:rsidR="00A9758E">
        <w:rPr>
          <w:rFonts w:ascii="Times New Roman" w:hAnsi="Times New Roman" w:cs="Times New Roman"/>
          <w:sz w:val="20"/>
          <w:szCs w:val="20"/>
        </w:rPr>
        <w:t>Ha</w:t>
      </w:r>
      <w:r w:rsidRPr="00E66785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et al. (2016) detectaram em extratos da casca de </w:t>
      </w:r>
      <w:proofErr w:type="spellStart"/>
      <w:r w:rsidRPr="00E66785">
        <w:rPr>
          <w:rFonts w:ascii="Times New Roman" w:hAnsi="Times New Roman" w:cs="Times New Roman"/>
          <w:i/>
          <w:sz w:val="20"/>
          <w:szCs w:val="20"/>
        </w:rPr>
        <w:t>Crataeva</w:t>
      </w:r>
      <w:proofErr w:type="spellEnd"/>
      <w:r w:rsidRPr="00E6678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66785">
        <w:rPr>
          <w:rFonts w:ascii="Times New Roman" w:hAnsi="Times New Roman" w:cs="Times New Roman"/>
          <w:i/>
          <w:sz w:val="20"/>
          <w:szCs w:val="20"/>
        </w:rPr>
        <w:t>nurvala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a presença de esteroides,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terpenoides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, fenóis,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flavanoides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, taninos e saponinas e afirmaram que esses compostos, provavelmente, seriam os responsáveis pelas várias atividades biológicas apresentadas por essa espécie. </w:t>
      </w:r>
    </w:p>
    <w:p w14:paraId="6E534A43" w14:textId="77777777" w:rsidR="00557677" w:rsidRDefault="00557677" w:rsidP="005576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E122015" w14:textId="77777777" w:rsidR="00D25E94" w:rsidRDefault="00D25E94" w:rsidP="005576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8659547" w14:textId="77777777" w:rsidR="00D25E94" w:rsidRDefault="00D25E94" w:rsidP="005576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565D3D4" w14:textId="77777777" w:rsidR="0086041C" w:rsidRPr="00E66785" w:rsidRDefault="0086041C" w:rsidP="00B71BB5">
      <w:pPr>
        <w:spacing w:after="0" w:line="360" w:lineRule="auto"/>
        <w:ind w:right="56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71BB5">
        <w:rPr>
          <w:rFonts w:ascii="Times New Roman" w:hAnsi="Times New Roman" w:cs="Times New Roman"/>
          <w:bCs/>
          <w:sz w:val="20"/>
          <w:szCs w:val="20"/>
        </w:rPr>
        <w:lastRenderedPageBreak/>
        <w:t>Tabela 1</w:t>
      </w:r>
      <w:r w:rsidR="00B71BB5" w:rsidRPr="00B71BB5">
        <w:rPr>
          <w:rFonts w:ascii="Times New Roman" w:hAnsi="Times New Roman" w:cs="Times New Roman"/>
          <w:bCs/>
          <w:sz w:val="20"/>
          <w:szCs w:val="20"/>
        </w:rPr>
        <w:t xml:space="preserve"> -</w:t>
      </w:r>
      <w:r w:rsidRPr="00E66785">
        <w:rPr>
          <w:rFonts w:ascii="Times New Roman" w:hAnsi="Times New Roman" w:cs="Times New Roman"/>
          <w:bCs/>
          <w:sz w:val="20"/>
          <w:szCs w:val="20"/>
        </w:rPr>
        <w:t xml:space="preserve"> Prospecção dos constituintes químicos das folhas de </w:t>
      </w:r>
      <w:proofErr w:type="spellStart"/>
      <w:r w:rsidRPr="00E66785">
        <w:rPr>
          <w:rFonts w:ascii="Times New Roman" w:hAnsi="Times New Roman" w:cs="Times New Roman"/>
          <w:bCs/>
          <w:i/>
          <w:sz w:val="20"/>
          <w:szCs w:val="20"/>
        </w:rPr>
        <w:t>Crataeva</w:t>
      </w:r>
      <w:proofErr w:type="spellEnd"/>
      <w:r w:rsidRPr="00E6678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E66785">
        <w:rPr>
          <w:rFonts w:ascii="Times New Roman" w:hAnsi="Times New Roman" w:cs="Times New Roman"/>
          <w:bCs/>
          <w:i/>
          <w:sz w:val="20"/>
          <w:szCs w:val="20"/>
        </w:rPr>
        <w:t>tapia</w:t>
      </w:r>
      <w:proofErr w:type="spellEnd"/>
      <w:r w:rsidRPr="00E66785">
        <w:rPr>
          <w:rFonts w:ascii="Times New Roman" w:hAnsi="Times New Roman" w:cs="Times New Roman"/>
          <w:bCs/>
          <w:sz w:val="20"/>
          <w:szCs w:val="20"/>
        </w:rPr>
        <w:t xml:space="preserve"> L.</w:t>
      </w:r>
    </w:p>
    <w:tbl>
      <w:tblPr>
        <w:tblW w:w="839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855"/>
      </w:tblGrid>
      <w:tr w:rsidR="0086041C" w:rsidRPr="00E66785" w14:paraId="6139F7D3" w14:textId="77777777" w:rsidTr="005F39A3">
        <w:trPr>
          <w:trHeight w:val="279"/>
        </w:trPr>
        <w:tc>
          <w:tcPr>
            <w:tcW w:w="4535" w:type="dxa"/>
            <w:tcBorders>
              <w:bottom w:val="single" w:sz="4" w:space="0" w:color="auto"/>
            </w:tcBorders>
          </w:tcPr>
          <w:p w14:paraId="1E7C29C2" w14:textId="27CDB1F5" w:rsidR="0086041C" w:rsidRPr="00E66785" w:rsidRDefault="005F39A3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Constituintes Químicos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1C5AC4BB" w14:textId="77777777" w:rsidR="0086041C" w:rsidRPr="00E66785" w:rsidRDefault="0086041C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6785">
              <w:rPr>
                <w:rFonts w:ascii="Times New Roman" w:hAnsi="Times New Roman" w:cs="Times New Roman"/>
                <w:sz w:val="20"/>
                <w:szCs w:val="20"/>
              </w:rPr>
              <w:t>Presença ou Ausência</w:t>
            </w:r>
          </w:p>
        </w:tc>
      </w:tr>
      <w:tr w:rsidR="0086041C" w:rsidRPr="00E66785" w14:paraId="61C372D5" w14:textId="77777777" w:rsidTr="0054453A">
        <w:trPr>
          <w:trHeight w:val="143"/>
        </w:trPr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14:paraId="07E534D8" w14:textId="77777777" w:rsidR="0086041C" w:rsidRPr="00E66785" w:rsidRDefault="00093E3F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785">
              <w:rPr>
                <w:rFonts w:ascii="Times New Roman" w:hAnsi="Times New Roman" w:cs="Times New Roman"/>
                <w:sz w:val="20"/>
                <w:szCs w:val="20"/>
              </w:rPr>
              <w:t>Fenóis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14:paraId="7F28F81D" w14:textId="77777777" w:rsidR="0086041C" w:rsidRPr="00E66785" w:rsidRDefault="0086041C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78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6041C" w:rsidRPr="00E66785" w14:paraId="017846DD" w14:textId="77777777" w:rsidTr="0054453A">
        <w:trPr>
          <w:trHeight w:val="199"/>
        </w:trPr>
        <w:tc>
          <w:tcPr>
            <w:tcW w:w="4535" w:type="dxa"/>
            <w:tcBorders>
              <w:top w:val="nil"/>
            </w:tcBorders>
          </w:tcPr>
          <w:p w14:paraId="221950CA" w14:textId="77777777" w:rsidR="0086041C" w:rsidRPr="00E66785" w:rsidRDefault="00093E3F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785">
              <w:rPr>
                <w:rFonts w:ascii="Times New Roman" w:hAnsi="Times New Roman" w:cs="Times New Roman"/>
                <w:sz w:val="20"/>
                <w:szCs w:val="20"/>
              </w:rPr>
              <w:t xml:space="preserve">Taninos </w:t>
            </w:r>
            <w:proofErr w:type="spellStart"/>
            <w:r w:rsidRPr="00E66785">
              <w:rPr>
                <w:rFonts w:ascii="Times New Roman" w:hAnsi="Times New Roman" w:cs="Times New Roman"/>
                <w:sz w:val="20"/>
                <w:szCs w:val="20"/>
              </w:rPr>
              <w:t>pirogálicos</w:t>
            </w:r>
            <w:proofErr w:type="spellEnd"/>
          </w:p>
        </w:tc>
        <w:tc>
          <w:tcPr>
            <w:tcW w:w="3855" w:type="dxa"/>
            <w:tcBorders>
              <w:top w:val="nil"/>
            </w:tcBorders>
          </w:tcPr>
          <w:p w14:paraId="403D0F14" w14:textId="77777777" w:rsidR="0086041C" w:rsidRPr="00E66785" w:rsidRDefault="0086041C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78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6041C" w:rsidRPr="00E66785" w14:paraId="705EED8C" w14:textId="77777777" w:rsidTr="0054453A">
        <w:trPr>
          <w:trHeight w:val="146"/>
        </w:trPr>
        <w:tc>
          <w:tcPr>
            <w:tcW w:w="4535" w:type="dxa"/>
          </w:tcPr>
          <w:p w14:paraId="7E434288" w14:textId="77777777" w:rsidR="0086041C" w:rsidRPr="00E66785" w:rsidRDefault="00093E3F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6785">
              <w:rPr>
                <w:rFonts w:ascii="Times New Roman" w:hAnsi="Times New Roman" w:cs="Times New Roman"/>
                <w:sz w:val="20"/>
                <w:szCs w:val="20"/>
              </w:rPr>
              <w:t xml:space="preserve">Taninos </w:t>
            </w:r>
            <w:proofErr w:type="spellStart"/>
            <w:r w:rsidRPr="00E66785">
              <w:rPr>
                <w:rFonts w:ascii="Times New Roman" w:hAnsi="Times New Roman" w:cs="Times New Roman"/>
                <w:sz w:val="20"/>
                <w:szCs w:val="20"/>
              </w:rPr>
              <w:t>flobafênicos</w:t>
            </w:r>
            <w:proofErr w:type="spellEnd"/>
          </w:p>
        </w:tc>
        <w:tc>
          <w:tcPr>
            <w:tcW w:w="3855" w:type="dxa"/>
          </w:tcPr>
          <w:p w14:paraId="755C48BA" w14:textId="77777777" w:rsidR="0086041C" w:rsidRPr="00E66785" w:rsidRDefault="0086041C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78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</w:tr>
      <w:tr w:rsidR="0086041C" w:rsidRPr="00E66785" w14:paraId="6240B542" w14:textId="77777777" w:rsidTr="0054453A">
        <w:trPr>
          <w:trHeight w:val="279"/>
        </w:trPr>
        <w:tc>
          <w:tcPr>
            <w:tcW w:w="4535" w:type="dxa"/>
          </w:tcPr>
          <w:p w14:paraId="04CBF5F2" w14:textId="77777777" w:rsidR="0086041C" w:rsidRPr="00E66785" w:rsidRDefault="00093E3F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785">
              <w:rPr>
                <w:rFonts w:ascii="Times New Roman" w:hAnsi="Times New Roman" w:cs="Times New Roman"/>
                <w:sz w:val="20"/>
                <w:szCs w:val="20"/>
              </w:rPr>
              <w:t xml:space="preserve">Antocianina e </w:t>
            </w:r>
            <w:proofErr w:type="spellStart"/>
            <w:r w:rsidRPr="00E66785">
              <w:rPr>
                <w:rFonts w:ascii="Times New Roman" w:hAnsi="Times New Roman" w:cs="Times New Roman"/>
                <w:sz w:val="20"/>
                <w:szCs w:val="20"/>
              </w:rPr>
              <w:t>antocianidina</w:t>
            </w:r>
            <w:proofErr w:type="spellEnd"/>
          </w:p>
        </w:tc>
        <w:tc>
          <w:tcPr>
            <w:tcW w:w="3855" w:type="dxa"/>
          </w:tcPr>
          <w:p w14:paraId="1FA6EF8D" w14:textId="77777777" w:rsidR="0086041C" w:rsidRPr="00E66785" w:rsidRDefault="0086041C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78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6041C" w:rsidRPr="00E66785" w14:paraId="35F20ECC" w14:textId="77777777" w:rsidTr="0054453A">
        <w:trPr>
          <w:trHeight w:val="282"/>
        </w:trPr>
        <w:tc>
          <w:tcPr>
            <w:tcW w:w="4535" w:type="dxa"/>
          </w:tcPr>
          <w:p w14:paraId="6776984A" w14:textId="77777777" w:rsidR="0086041C" w:rsidRPr="00E66785" w:rsidRDefault="00093E3F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6785">
              <w:rPr>
                <w:rFonts w:ascii="Times New Roman" w:hAnsi="Times New Roman" w:cs="Times New Roman"/>
                <w:sz w:val="20"/>
                <w:szCs w:val="20"/>
              </w:rPr>
              <w:t>Flavonas, flavonóis e xantonas</w:t>
            </w:r>
          </w:p>
        </w:tc>
        <w:tc>
          <w:tcPr>
            <w:tcW w:w="3855" w:type="dxa"/>
          </w:tcPr>
          <w:p w14:paraId="4BBD3DA0" w14:textId="77777777" w:rsidR="0086041C" w:rsidRPr="00E66785" w:rsidRDefault="0086041C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78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</w:tr>
      <w:tr w:rsidR="0086041C" w:rsidRPr="00E66785" w14:paraId="160FB4B0" w14:textId="77777777" w:rsidTr="0054453A">
        <w:trPr>
          <w:trHeight w:val="286"/>
        </w:trPr>
        <w:tc>
          <w:tcPr>
            <w:tcW w:w="4535" w:type="dxa"/>
          </w:tcPr>
          <w:p w14:paraId="222E82A0" w14:textId="77777777" w:rsidR="0086041C" w:rsidRPr="00E66785" w:rsidRDefault="00093E3F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66785">
              <w:rPr>
                <w:rFonts w:ascii="Times New Roman" w:hAnsi="Times New Roman" w:cs="Times New Roman"/>
                <w:sz w:val="20"/>
                <w:szCs w:val="20"/>
              </w:rPr>
              <w:t>Chalconas</w:t>
            </w:r>
            <w:proofErr w:type="spellEnd"/>
            <w:r w:rsidRPr="00E66785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E66785">
              <w:rPr>
                <w:rFonts w:ascii="Times New Roman" w:hAnsi="Times New Roman" w:cs="Times New Roman"/>
                <w:sz w:val="20"/>
                <w:szCs w:val="20"/>
              </w:rPr>
              <w:t>auronas</w:t>
            </w:r>
            <w:proofErr w:type="spellEnd"/>
          </w:p>
        </w:tc>
        <w:tc>
          <w:tcPr>
            <w:tcW w:w="3855" w:type="dxa"/>
          </w:tcPr>
          <w:p w14:paraId="6D55F7C8" w14:textId="77777777" w:rsidR="0086041C" w:rsidRPr="00E66785" w:rsidRDefault="0086041C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78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6041C" w:rsidRPr="00E66785" w14:paraId="1827E510" w14:textId="77777777" w:rsidTr="0054453A">
        <w:trPr>
          <w:trHeight w:val="276"/>
        </w:trPr>
        <w:tc>
          <w:tcPr>
            <w:tcW w:w="4535" w:type="dxa"/>
          </w:tcPr>
          <w:p w14:paraId="73936F51" w14:textId="77777777" w:rsidR="0086041C" w:rsidRPr="00E66785" w:rsidRDefault="00093E3F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66785">
              <w:rPr>
                <w:rFonts w:ascii="Times New Roman" w:hAnsi="Times New Roman" w:cs="Times New Roman"/>
                <w:sz w:val="20"/>
                <w:szCs w:val="20"/>
              </w:rPr>
              <w:t>Flavononóis</w:t>
            </w:r>
            <w:proofErr w:type="spellEnd"/>
          </w:p>
        </w:tc>
        <w:tc>
          <w:tcPr>
            <w:tcW w:w="3855" w:type="dxa"/>
          </w:tcPr>
          <w:p w14:paraId="7A227D25" w14:textId="77777777" w:rsidR="0086041C" w:rsidRPr="00E66785" w:rsidRDefault="0086041C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78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6041C" w:rsidRPr="00E66785" w14:paraId="265A2A8A" w14:textId="77777777" w:rsidTr="0054453A">
        <w:trPr>
          <w:trHeight w:val="294"/>
        </w:trPr>
        <w:tc>
          <w:tcPr>
            <w:tcW w:w="4535" w:type="dxa"/>
          </w:tcPr>
          <w:p w14:paraId="4D8B4A96" w14:textId="77777777" w:rsidR="0086041C" w:rsidRPr="00E66785" w:rsidRDefault="00093E3F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66785">
              <w:rPr>
                <w:rFonts w:ascii="Times New Roman" w:hAnsi="Times New Roman" w:cs="Times New Roman"/>
                <w:sz w:val="20"/>
                <w:szCs w:val="20"/>
              </w:rPr>
              <w:t>Leucoantocianidinas</w:t>
            </w:r>
            <w:proofErr w:type="spellEnd"/>
          </w:p>
        </w:tc>
        <w:tc>
          <w:tcPr>
            <w:tcW w:w="3855" w:type="dxa"/>
          </w:tcPr>
          <w:p w14:paraId="73B94A09" w14:textId="77777777" w:rsidR="0086041C" w:rsidRPr="00E66785" w:rsidRDefault="0086041C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78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6041C" w:rsidRPr="00E66785" w14:paraId="4A098907" w14:textId="77777777" w:rsidTr="0054453A">
        <w:trPr>
          <w:trHeight w:val="270"/>
        </w:trPr>
        <w:tc>
          <w:tcPr>
            <w:tcW w:w="4535" w:type="dxa"/>
          </w:tcPr>
          <w:p w14:paraId="6C1EBFEE" w14:textId="77777777" w:rsidR="0086041C" w:rsidRPr="00E66785" w:rsidRDefault="00093E3F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785">
              <w:rPr>
                <w:rFonts w:ascii="Times New Roman" w:hAnsi="Times New Roman" w:cs="Times New Roman"/>
                <w:sz w:val="20"/>
                <w:szCs w:val="20"/>
              </w:rPr>
              <w:t>Catequinas</w:t>
            </w:r>
          </w:p>
        </w:tc>
        <w:tc>
          <w:tcPr>
            <w:tcW w:w="3855" w:type="dxa"/>
          </w:tcPr>
          <w:p w14:paraId="72B5F875" w14:textId="77777777" w:rsidR="0086041C" w:rsidRPr="00E66785" w:rsidRDefault="0086041C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78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6041C" w:rsidRPr="00E66785" w14:paraId="1B2D311B" w14:textId="77777777" w:rsidTr="0054453A">
        <w:trPr>
          <w:trHeight w:val="288"/>
        </w:trPr>
        <w:tc>
          <w:tcPr>
            <w:tcW w:w="4535" w:type="dxa"/>
          </w:tcPr>
          <w:p w14:paraId="6ADABA5E" w14:textId="77777777" w:rsidR="0086041C" w:rsidRPr="00E66785" w:rsidRDefault="00093E3F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E66785">
              <w:rPr>
                <w:rFonts w:ascii="Times New Roman" w:hAnsi="Times New Roman" w:cs="Times New Roman"/>
                <w:sz w:val="20"/>
                <w:szCs w:val="20"/>
              </w:rPr>
              <w:t>Flavononas</w:t>
            </w:r>
          </w:p>
        </w:tc>
        <w:tc>
          <w:tcPr>
            <w:tcW w:w="3855" w:type="dxa"/>
          </w:tcPr>
          <w:p w14:paraId="642C8668" w14:textId="77777777" w:rsidR="0086041C" w:rsidRPr="00E66785" w:rsidRDefault="0086041C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78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6041C" w:rsidRPr="00E66785" w14:paraId="54C17C6D" w14:textId="77777777" w:rsidTr="0054453A">
        <w:trPr>
          <w:trHeight w:val="136"/>
        </w:trPr>
        <w:tc>
          <w:tcPr>
            <w:tcW w:w="4535" w:type="dxa"/>
          </w:tcPr>
          <w:p w14:paraId="2FC18CCF" w14:textId="77777777" w:rsidR="0086041C" w:rsidRPr="00E66785" w:rsidRDefault="00093E3F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proofErr w:type="spellStart"/>
            <w:r w:rsidRPr="00E66785">
              <w:rPr>
                <w:rFonts w:ascii="Times New Roman" w:hAnsi="Times New Roman" w:cs="Times New Roman"/>
                <w:sz w:val="20"/>
                <w:szCs w:val="20"/>
              </w:rPr>
              <w:t>Esteróides</w:t>
            </w:r>
            <w:proofErr w:type="spellEnd"/>
          </w:p>
        </w:tc>
        <w:tc>
          <w:tcPr>
            <w:tcW w:w="3855" w:type="dxa"/>
          </w:tcPr>
          <w:p w14:paraId="2F43BD4A" w14:textId="77777777" w:rsidR="0086041C" w:rsidRPr="00E66785" w:rsidRDefault="0086041C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E6678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</w:tr>
      <w:tr w:rsidR="0086041C" w:rsidRPr="00E66785" w14:paraId="13FA44EF" w14:textId="77777777" w:rsidTr="0054453A">
        <w:trPr>
          <w:trHeight w:val="196"/>
        </w:trPr>
        <w:tc>
          <w:tcPr>
            <w:tcW w:w="4535" w:type="dxa"/>
          </w:tcPr>
          <w:p w14:paraId="1DCF3273" w14:textId="77777777" w:rsidR="0086041C" w:rsidRPr="00E66785" w:rsidRDefault="00093E3F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proofErr w:type="spellStart"/>
            <w:r w:rsidRPr="00E66785">
              <w:rPr>
                <w:rFonts w:ascii="Times New Roman" w:hAnsi="Times New Roman" w:cs="Times New Roman"/>
                <w:sz w:val="20"/>
                <w:szCs w:val="20"/>
              </w:rPr>
              <w:t>Triterpenóides</w:t>
            </w:r>
            <w:proofErr w:type="spellEnd"/>
          </w:p>
        </w:tc>
        <w:tc>
          <w:tcPr>
            <w:tcW w:w="3855" w:type="dxa"/>
          </w:tcPr>
          <w:p w14:paraId="30CF18E1" w14:textId="77777777" w:rsidR="0086041C" w:rsidRPr="00E66785" w:rsidRDefault="0086041C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E6678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</w:tr>
      <w:tr w:rsidR="0086041C" w:rsidRPr="00E66785" w14:paraId="0C0CDEED" w14:textId="77777777" w:rsidTr="0054453A">
        <w:trPr>
          <w:trHeight w:val="256"/>
        </w:trPr>
        <w:tc>
          <w:tcPr>
            <w:tcW w:w="4535" w:type="dxa"/>
          </w:tcPr>
          <w:p w14:paraId="03334C76" w14:textId="77777777" w:rsidR="0086041C" w:rsidRPr="00E66785" w:rsidRDefault="00093E3F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E66785">
              <w:rPr>
                <w:rFonts w:ascii="Times New Roman" w:hAnsi="Times New Roman" w:cs="Times New Roman"/>
                <w:sz w:val="20"/>
                <w:szCs w:val="20"/>
              </w:rPr>
              <w:t>Saponinas</w:t>
            </w:r>
          </w:p>
        </w:tc>
        <w:tc>
          <w:tcPr>
            <w:tcW w:w="3855" w:type="dxa"/>
          </w:tcPr>
          <w:p w14:paraId="6208F0DB" w14:textId="77777777" w:rsidR="0086041C" w:rsidRPr="00E66785" w:rsidRDefault="0086041C" w:rsidP="0054453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78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</w:tr>
    </w:tbl>
    <w:p w14:paraId="64D0DAA6" w14:textId="77777777" w:rsidR="0086041C" w:rsidRPr="00E66785" w:rsidRDefault="0086041C" w:rsidP="005445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>O sinal (+) indica presença e (-) ausência do constituinte químico.</w:t>
      </w:r>
    </w:p>
    <w:p w14:paraId="3B61071E" w14:textId="77777777" w:rsidR="0086041C" w:rsidRPr="00E66785" w:rsidRDefault="0086041C" w:rsidP="005445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66785">
        <w:rPr>
          <w:rFonts w:ascii="Times New Roman" w:hAnsi="Times New Roman" w:cs="Times New Roman"/>
          <w:bCs/>
          <w:sz w:val="20"/>
          <w:szCs w:val="20"/>
        </w:rPr>
        <w:t>Fonte: Dados da Pesquisa.</w:t>
      </w:r>
    </w:p>
    <w:p w14:paraId="145AEA8F" w14:textId="77777777" w:rsidR="00E66785" w:rsidRDefault="00E66785" w:rsidP="00E667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AC6D8BD" w14:textId="52D80005" w:rsidR="0086041C" w:rsidRPr="00E66785" w:rsidRDefault="0086041C" w:rsidP="00A975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 xml:space="preserve">Na análise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fitoquímica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, observou-se a presença de taninos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flobafênicos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e ausência de fenóis. </w:t>
      </w:r>
      <w:r w:rsidR="0054453A">
        <w:rPr>
          <w:rFonts w:ascii="Times New Roman" w:hAnsi="Times New Roman" w:cs="Times New Roman"/>
          <w:sz w:val="20"/>
          <w:szCs w:val="20"/>
        </w:rPr>
        <w:t xml:space="preserve">Também observou-se presenta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flavonóides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</w:t>
      </w:r>
      <w:r w:rsidR="0054453A">
        <w:rPr>
          <w:rFonts w:ascii="Times New Roman" w:hAnsi="Times New Roman" w:cs="Times New Roman"/>
          <w:sz w:val="20"/>
          <w:szCs w:val="20"/>
        </w:rPr>
        <w:t>pertencentes</w:t>
      </w:r>
      <w:r w:rsidRPr="00E66785">
        <w:rPr>
          <w:rFonts w:ascii="Times New Roman" w:hAnsi="Times New Roman" w:cs="Times New Roman"/>
          <w:sz w:val="20"/>
          <w:szCs w:val="20"/>
        </w:rPr>
        <w:t xml:space="preserve"> às classes de flavonas, flavonóis, xantonas e flavononas</w:t>
      </w:r>
      <w:r w:rsidR="000B52B4">
        <w:rPr>
          <w:rFonts w:ascii="Times New Roman" w:hAnsi="Times New Roman" w:cs="Times New Roman"/>
          <w:sz w:val="20"/>
          <w:szCs w:val="20"/>
        </w:rPr>
        <w:t xml:space="preserve"> que</w:t>
      </w:r>
      <w:r w:rsidRPr="00E66785">
        <w:rPr>
          <w:rFonts w:ascii="Times New Roman" w:hAnsi="Times New Roman" w:cs="Times New Roman"/>
          <w:sz w:val="20"/>
          <w:szCs w:val="20"/>
        </w:rPr>
        <w:t xml:space="preserve"> são </w:t>
      </w:r>
      <w:r w:rsidR="000B52B4">
        <w:rPr>
          <w:rFonts w:ascii="Times New Roman" w:hAnsi="Times New Roman" w:cs="Times New Roman"/>
          <w:sz w:val="20"/>
          <w:szCs w:val="20"/>
        </w:rPr>
        <w:t>os</w:t>
      </w:r>
      <w:r w:rsidRPr="00E66785">
        <w:rPr>
          <w:rFonts w:ascii="Times New Roman" w:hAnsi="Times New Roman" w:cs="Times New Roman"/>
          <w:sz w:val="20"/>
          <w:szCs w:val="20"/>
        </w:rPr>
        <w:t xml:space="preserve"> grupos fenólicos mais importantes e diversificados entre</w:t>
      </w:r>
      <w:r w:rsidR="000B52B4">
        <w:rPr>
          <w:rFonts w:ascii="Times New Roman" w:hAnsi="Times New Roman" w:cs="Times New Roman"/>
          <w:sz w:val="20"/>
          <w:szCs w:val="20"/>
        </w:rPr>
        <w:t xml:space="preserve"> os produtos de origem natural </w:t>
      </w:r>
      <w:r w:rsidR="00A9758E">
        <w:rPr>
          <w:rFonts w:ascii="Times New Roman" w:hAnsi="Times New Roman" w:cs="Times New Roman"/>
          <w:sz w:val="20"/>
          <w:szCs w:val="20"/>
        </w:rPr>
        <w:t>(SIMÕES et al., 2010</w:t>
      </w:r>
      <w:r w:rsidRPr="00E66785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3975D594" w14:textId="499E5AD7" w:rsidR="0086041C" w:rsidRPr="00E66785" w:rsidRDefault="0086041C" w:rsidP="00E667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 xml:space="preserve">Com relação à avaliação quantitativa da atividade antioxidante (AAO%) pelo método – DPPH foi possível observar que o extrato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etanólico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de </w:t>
      </w:r>
      <w:r w:rsidRPr="00E66785">
        <w:rPr>
          <w:rFonts w:ascii="Times New Roman" w:hAnsi="Times New Roman" w:cs="Times New Roman"/>
          <w:i/>
          <w:sz w:val="20"/>
          <w:szCs w:val="20"/>
        </w:rPr>
        <w:t xml:space="preserve">C. </w:t>
      </w:r>
      <w:proofErr w:type="spellStart"/>
      <w:r w:rsidRPr="00E66785">
        <w:rPr>
          <w:rFonts w:ascii="Times New Roman" w:hAnsi="Times New Roman" w:cs="Times New Roman"/>
          <w:i/>
          <w:sz w:val="20"/>
          <w:szCs w:val="20"/>
        </w:rPr>
        <w:t>tapia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apresentou efeito notável sobre a eliminação de radicais livres e que a sua atividade atua de forma linear (Figura 1). Observa-se, que com 200 µg/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atingiu-se 88,50 de AAO%. Esta atividade provavelmente estar relacionada aos metabólitos secundários detectados nesta amostra vegetal através da tria</w:t>
      </w:r>
      <w:r w:rsidR="005F39A3">
        <w:rPr>
          <w:rFonts w:ascii="Times New Roman" w:hAnsi="Times New Roman" w:cs="Times New Roman"/>
          <w:sz w:val="20"/>
          <w:szCs w:val="20"/>
        </w:rPr>
        <w:t xml:space="preserve">gem </w:t>
      </w:r>
      <w:proofErr w:type="spellStart"/>
      <w:r w:rsidR="005F39A3">
        <w:rPr>
          <w:rFonts w:ascii="Times New Roman" w:hAnsi="Times New Roman" w:cs="Times New Roman"/>
          <w:sz w:val="20"/>
          <w:szCs w:val="20"/>
        </w:rPr>
        <w:t>fitoquímica</w:t>
      </w:r>
      <w:proofErr w:type="spellEnd"/>
      <w:r w:rsidR="005F39A3">
        <w:rPr>
          <w:rFonts w:ascii="Times New Roman" w:hAnsi="Times New Roman" w:cs="Times New Roman"/>
          <w:sz w:val="20"/>
          <w:szCs w:val="20"/>
        </w:rPr>
        <w:t>.</w:t>
      </w:r>
    </w:p>
    <w:p w14:paraId="2AB4860A" w14:textId="77777777" w:rsidR="0086041C" w:rsidRPr="00E66785" w:rsidRDefault="0086041C" w:rsidP="00E667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1615DD78" wp14:editId="76241D4E">
            <wp:extent cx="3838575" cy="2077085"/>
            <wp:effectExtent l="0" t="0" r="9525" b="18415"/>
            <wp:docPr id="5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A86F1BE" w14:textId="77777777" w:rsidR="0086041C" w:rsidRPr="00E66785" w:rsidRDefault="0086041C" w:rsidP="00E66785">
      <w:pPr>
        <w:spacing w:after="0" w:line="360" w:lineRule="auto"/>
        <w:ind w:right="566" w:firstLine="567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66785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Pr="00B71BB5">
        <w:rPr>
          <w:rFonts w:ascii="Times New Roman" w:hAnsi="Times New Roman" w:cs="Times New Roman"/>
          <w:sz w:val="20"/>
          <w:szCs w:val="20"/>
        </w:rPr>
        <w:t>Figura 1 –</w:t>
      </w:r>
      <w:r w:rsidRPr="00E66785">
        <w:rPr>
          <w:rFonts w:ascii="Times New Roman" w:hAnsi="Times New Roman" w:cs="Times New Roman"/>
          <w:sz w:val="20"/>
          <w:szCs w:val="20"/>
        </w:rPr>
        <w:t xml:space="preserve"> AAO% da fração da folha de </w:t>
      </w:r>
      <w:proofErr w:type="spellStart"/>
      <w:r w:rsidRPr="00E66785">
        <w:rPr>
          <w:rFonts w:ascii="Times New Roman" w:hAnsi="Times New Roman" w:cs="Times New Roman"/>
          <w:bCs/>
          <w:i/>
          <w:sz w:val="20"/>
          <w:szCs w:val="20"/>
        </w:rPr>
        <w:t>Crataeva</w:t>
      </w:r>
      <w:proofErr w:type="spellEnd"/>
      <w:r w:rsidRPr="00E6678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E66785">
        <w:rPr>
          <w:rFonts w:ascii="Times New Roman" w:hAnsi="Times New Roman" w:cs="Times New Roman"/>
          <w:bCs/>
          <w:i/>
          <w:sz w:val="20"/>
          <w:szCs w:val="20"/>
        </w:rPr>
        <w:t>tapia</w:t>
      </w:r>
      <w:proofErr w:type="spellEnd"/>
      <w:r w:rsidRPr="00E66785">
        <w:rPr>
          <w:rFonts w:ascii="Times New Roman" w:hAnsi="Times New Roman" w:cs="Times New Roman"/>
          <w:bCs/>
          <w:sz w:val="20"/>
          <w:szCs w:val="20"/>
        </w:rPr>
        <w:t xml:space="preserve"> L.</w:t>
      </w:r>
    </w:p>
    <w:p w14:paraId="4CFA0385" w14:textId="77777777" w:rsidR="000B52B4" w:rsidRDefault="000B52B4" w:rsidP="000B52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3965B33" w14:textId="77777777" w:rsidR="009F1D2D" w:rsidRDefault="000B52B4" w:rsidP="000B52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>A amostra vegetal teve seu comportamento antioxidante representado pelo modelo de equação de reta linear, com o coeficiente de determinação (R</w:t>
      </w:r>
      <w:r w:rsidRPr="00E6678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66785">
        <w:rPr>
          <w:rFonts w:ascii="Times New Roman" w:hAnsi="Times New Roman" w:cs="Times New Roman"/>
          <w:sz w:val="20"/>
          <w:szCs w:val="20"/>
        </w:rPr>
        <w:t>) superior a 0,9, o que possibilitou a determinação de sua concentração efetiva a 50% (CE</w:t>
      </w:r>
      <w:r w:rsidRPr="00E66785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E66785">
        <w:rPr>
          <w:rFonts w:ascii="Times New Roman" w:hAnsi="Times New Roman" w:cs="Times New Roman"/>
          <w:sz w:val="20"/>
          <w:szCs w:val="20"/>
        </w:rPr>
        <w:t xml:space="preserve">). O extrato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etanólico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das folhas de </w:t>
      </w:r>
      <w:r w:rsidRPr="00E66785">
        <w:rPr>
          <w:rFonts w:ascii="Times New Roman" w:hAnsi="Times New Roman" w:cs="Times New Roman"/>
          <w:i/>
          <w:sz w:val="20"/>
          <w:szCs w:val="20"/>
        </w:rPr>
        <w:t xml:space="preserve">C. </w:t>
      </w:r>
      <w:proofErr w:type="spellStart"/>
      <w:r w:rsidRPr="00E66785">
        <w:rPr>
          <w:rFonts w:ascii="Times New Roman" w:hAnsi="Times New Roman" w:cs="Times New Roman"/>
          <w:i/>
          <w:sz w:val="20"/>
          <w:szCs w:val="20"/>
        </w:rPr>
        <w:t>tapia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mostrou 50% de inibição (CE</w:t>
      </w:r>
      <w:r w:rsidRPr="00E66785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E66785">
        <w:rPr>
          <w:rFonts w:ascii="Times New Roman" w:hAnsi="Times New Roman" w:cs="Times New Roman"/>
          <w:sz w:val="20"/>
          <w:szCs w:val="20"/>
        </w:rPr>
        <w:t>) com 105,39 µg/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, apresentando uma maior eficiência quando comparado com os obtidos por Silva </w:t>
      </w:r>
      <w:r w:rsidRPr="00E66785">
        <w:rPr>
          <w:rFonts w:ascii="Times New Roman" w:hAnsi="Times New Roman" w:cs="Times New Roman"/>
          <w:sz w:val="20"/>
          <w:szCs w:val="20"/>
        </w:rPr>
        <w:lastRenderedPageBreak/>
        <w:t>et al. (2012) que necessitaram de 2.035,65 µg/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e 580,89 µg/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para atingirem 50% de inibição para o extrato aquoso 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etanólico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, respectivamente. Já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Hade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et al. (2016) detectaram CE</w:t>
      </w:r>
      <w:r w:rsidRPr="00E66785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E66785">
        <w:rPr>
          <w:rFonts w:ascii="Times New Roman" w:hAnsi="Times New Roman" w:cs="Times New Roman"/>
          <w:sz w:val="20"/>
          <w:szCs w:val="20"/>
        </w:rPr>
        <w:t xml:space="preserve"> com 363,125 e 518,55 µg/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respectivamente para extratos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metanólicos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e de éter de petróleo da casca do caule de </w:t>
      </w:r>
      <w:proofErr w:type="spellStart"/>
      <w:r w:rsidRPr="00E66785">
        <w:rPr>
          <w:rFonts w:ascii="Times New Roman" w:hAnsi="Times New Roman" w:cs="Times New Roman"/>
          <w:i/>
          <w:sz w:val="20"/>
          <w:szCs w:val="20"/>
        </w:rPr>
        <w:t>Crataeva</w:t>
      </w:r>
      <w:proofErr w:type="spellEnd"/>
      <w:r w:rsidRPr="00E6678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66785">
        <w:rPr>
          <w:rFonts w:ascii="Times New Roman" w:hAnsi="Times New Roman" w:cs="Times New Roman"/>
          <w:i/>
          <w:sz w:val="20"/>
          <w:szCs w:val="20"/>
        </w:rPr>
        <w:t>nurvala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0EF0E2A" w14:textId="2F82EBDD" w:rsidR="00CC4457" w:rsidRPr="009F1D2D" w:rsidRDefault="009F1D2D" w:rsidP="009F1D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Dessa forma</w:t>
      </w:r>
      <w:r w:rsidR="000B52B4" w:rsidRPr="00E66785">
        <w:rPr>
          <w:rFonts w:ascii="Times New Roman" w:hAnsi="Times New Roman" w:cs="Times New Roman"/>
          <w:sz w:val="20"/>
          <w:szCs w:val="20"/>
        </w:rPr>
        <w:t xml:space="preserve">, verifica-se que as folhas de </w:t>
      </w:r>
      <w:r w:rsidR="000B52B4" w:rsidRPr="00E66785">
        <w:rPr>
          <w:rFonts w:ascii="Times New Roman" w:hAnsi="Times New Roman" w:cs="Times New Roman"/>
          <w:i/>
          <w:sz w:val="20"/>
          <w:szCs w:val="20"/>
        </w:rPr>
        <w:t xml:space="preserve">C. </w:t>
      </w:r>
      <w:proofErr w:type="spellStart"/>
      <w:r w:rsidR="000B52B4" w:rsidRPr="00E66785">
        <w:rPr>
          <w:rFonts w:ascii="Times New Roman" w:hAnsi="Times New Roman" w:cs="Times New Roman"/>
          <w:i/>
          <w:sz w:val="20"/>
          <w:szCs w:val="20"/>
        </w:rPr>
        <w:t>tapia</w:t>
      </w:r>
      <w:proofErr w:type="spellEnd"/>
      <w:r w:rsidR="000B52B4" w:rsidRPr="00E66785">
        <w:rPr>
          <w:rFonts w:ascii="Times New Roman" w:hAnsi="Times New Roman" w:cs="Times New Roman"/>
          <w:sz w:val="20"/>
          <w:szCs w:val="20"/>
        </w:rPr>
        <w:t xml:space="preserve"> apresentam grande potencial antioxidante para inibir a ação de radicais livres. </w:t>
      </w:r>
      <w:r w:rsidR="0086041C" w:rsidRPr="00E66785">
        <w:rPr>
          <w:rFonts w:ascii="Times New Roman" w:hAnsi="Times New Roman" w:cs="Times New Roman"/>
          <w:bCs/>
          <w:sz w:val="20"/>
          <w:szCs w:val="20"/>
        </w:rPr>
        <w:t>As atividades de antioxidantes naturais têm sido atribuídas a vários mecanismos, tais como a prevenção do início da cadeia, a ligação com catalisadores de íons de metais de transição, a decomposição de peróxidos, a prevenção da continuidade da captação de hidrogénio, a capacidade de redução e a capacidade de eliminação de radicais (</w:t>
      </w:r>
      <w:r w:rsidRPr="00E66785">
        <w:rPr>
          <w:rFonts w:ascii="Times New Roman" w:hAnsi="Times New Roman" w:cs="Times New Roman"/>
          <w:bCs/>
          <w:sz w:val="20"/>
          <w:szCs w:val="20"/>
        </w:rPr>
        <w:t>LIU</w:t>
      </w:r>
      <w:r w:rsidR="0086041C" w:rsidRPr="00E66785">
        <w:rPr>
          <w:rFonts w:ascii="Times New Roman" w:hAnsi="Times New Roman" w:cs="Times New Roman"/>
          <w:bCs/>
          <w:sz w:val="20"/>
          <w:szCs w:val="20"/>
        </w:rPr>
        <w:t xml:space="preserve"> et al. 2013). </w:t>
      </w:r>
    </w:p>
    <w:p w14:paraId="6F40F128" w14:textId="77777777" w:rsidR="00CC4457" w:rsidRPr="00E66785" w:rsidRDefault="0086041C" w:rsidP="00E667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 xml:space="preserve">Para </w:t>
      </w:r>
      <w:r w:rsidR="00CC4457" w:rsidRPr="00E66785">
        <w:rPr>
          <w:rFonts w:ascii="Times New Roman" w:hAnsi="Times New Roman" w:cs="Times New Roman"/>
          <w:sz w:val="20"/>
          <w:szCs w:val="20"/>
        </w:rPr>
        <w:t>os</w:t>
      </w:r>
      <w:r w:rsidRPr="00E66785">
        <w:rPr>
          <w:rFonts w:ascii="Times New Roman" w:hAnsi="Times New Roman" w:cs="Times New Roman"/>
          <w:sz w:val="20"/>
          <w:szCs w:val="20"/>
        </w:rPr>
        <w:t xml:space="preserve"> compostos fenólicos foi determinada a equação da reta e o coeficiente de determinação (R</w:t>
      </w:r>
      <w:r w:rsidRPr="00E6678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66785">
        <w:rPr>
          <w:rFonts w:ascii="Times New Roman" w:hAnsi="Times New Roman" w:cs="Times New Roman"/>
          <w:sz w:val="20"/>
          <w:szCs w:val="20"/>
        </w:rPr>
        <w:t xml:space="preserve">) superior a 0,9 para a curva de calibração do ácido gálico (Figura 2). Através da equação da reta foi possível determinar o teor de compostos fenólicos totais que foi de 713,50 mg equivalentes de ácido gálico/g de amostra, que corrobora com o resultado apresentado pelo estudo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fitoquímico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e antioxidante. </w:t>
      </w:r>
    </w:p>
    <w:p w14:paraId="297071CF" w14:textId="77777777" w:rsidR="00CC4457" w:rsidRPr="00E66785" w:rsidRDefault="00CC4457" w:rsidP="00E667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9CAE9CA" w14:textId="77777777" w:rsidR="00CC4457" w:rsidRPr="00E66785" w:rsidRDefault="00CC4457" w:rsidP="00E66785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E66785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60D84BDF" wp14:editId="64E39B00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3855720" cy="2340610"/>
            <wp:effectExtent l="0" t="0" r="11430" b="2540"/>
            <wp:wrapSquare wrapText="bothSides"/>
            <wp:docPr id="6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5877D12F" w14:textId="77777777" w:rsidR="00CC4457" w:rsidRPr="00E66785" w:rsidRDefault="00CC4457" w:rsidP="00E667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14:paraId="07A0DA02" w14:textId="77777777" w:rsidR="00CC4457" w:rsidRPr="00E66785" w:rsidRDefault="00CC4457" w:rsidP="00E66785">
      <w:pPr>
        <w:spacing w:after="0" w:line="36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40D841B6" w14:textId="77777777" w:rsidR="00CC4457" w:rsidRPr="00E66785" w:rsidRDefault="00CC4457" w:rsidP="00E66785">
      <w:pPr>
        <w:spacing w:after="0" w:line="36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435DCBCB" w14:textId="77777777" w:rsidR="00CC4457" w:rsidRPr="00E66785" w:rsidRDefault="00CC4457" w:rsidP="00E66785">
      <w:pPr>
        <w:spacing w:after="0" w:line="36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005FFB13" w14:textId="77777777" w:rsidR="00CC4457" w:rsidRPr="00E66785" w:rsidRDefault="00CC4457" w:rsidP="00E667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14:paraId="7D2FB096" w14:textId="77777777" w:rsidR="00CC4457" w:rsidRPr="00E66785" w:rsidRDefault="00CC4457" w:rsidP="00E667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29965C89" w14:textId="77777777" w:rsidR="00CC4457" w:rsidRPr="00E66785" w:rsidRDefault="00CC4457" w:rsidP="00E667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B71BB5">
        <w:rPr>
          <w:rFonts w:ascii="Times New Roman" w:hAnsi="Times New Roman" w:cs="Times New Roman"/>
          <w:sz w:val="20"/>
          <w:szCs w:val="20"/>
        </w:rPr>
        <w:t>Figura 2 -</w:t>
      </w:r>
      <w:r w:rsidRPr="00E66785">
        <w:rPr>
          <w:rFonts w:ascii="Times New Roman" w:hAnsi="Times New Roman" w:cs="Times New Roman"/>
          <w:sz w:val="20"/>
          <w:szCs w:val="20"/>
        </w:rPr>
        <w:t xml:space="preserve"> Curva de calibração do ácido gálico.</w:t>
      </w:r>
    </w:p>
    <w:p w14:paraId="0868C72B" w14:textId="77777777" w:rsidR="00CC4457" w:rsidRPr="00E66785" w:rsidRDefault="00CC4457" w:rsidP="00E667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6AD7677" w14:textId="358BD890" w:rsidR="0086041C" w:rsidRPr="00E66785" w:rsidRDefault="0086041C" w:rsidP="00E667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 xml:space="preserve">O resultado evidencia o elevado teor de compostos fenólicos totais quando comparado os obtidos por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Nazarni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et al. (2016) a partir de extratos de flores frescas e fermentados </w:t>
      </w:r>
      <w:r w:rsidR="009F1D2D">
        <w:rPr>
          <w:rFonts w:ascii="Times New Roman" w:hAnsi="Times New Roman" w:cs="Times New Roman"/>
          <w:sz w:val="20"/>
          <w:szCs w:val="20"/>
        </w:rPr>
        <w:t>com</w:t>
      </w:r>
      <w:r w:rsidRPr="00E66785">
        <w:rPr>
          <w:rFonts w:ascii="Times New Roman" w:hAnsi="Times New Roman" w:cs="Times New Roman"/>
          <w:sz w:val="20"/>
          <w:szCs w:val="20"/>
        </w:rPr>
        <w:t xml:space="preserve"> 12,58 e 53,24 mg EAG/g da amostra</w:t>
      </w:r>
      <w:r w:rsidR="009F1D2D">
        <w:rPr>
          <w:rFonts w:ascii="Times New Roman" w:hAnsi="Times New Roman" w:cs="Times New Roman"/>
          <w:sz w:val="20"/>
          <w:szCs w:val="20"/>
        </w:rPr>
        <w:t xml:space="preserve">, respectivamente. </w:t>
      </w:r>
      <w:r w:rsidRPr="00E6678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A695C3" w14:textId="1EE8F1BD" w:rsidR="0086041C" w:rsidRPr="00E66785" w:rsidRDefault="0086041C" w:rsidP="00E667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 xml:space="preserve">O teor de fenóis totais detectados no extrato de folhas de </w:t>
      </w:r>
      <w:r w:rsidRPr="00E66785">
        <w:rPr>
          <w:rFonts w:ascii="Times New Roman" w:hAnsi="Times New Roman" w:cs="Times New Roman"/>
          <w:i/>
          <w:sz w:val="20"/>
          <w:szCs w:val="20"/>
        </w:rPr>
        <w:t xml:space="preserve">C. </w:t>
      </w:r>
      <w:proofErr w:type="spellStart"/>
      <w:r w:rsidRPr="00E66785">
        <w:rPr>
          <w:rFonts w:ascii="Times New Roman" w:hAnsi="Times New Roman" w:cs="Times New Roman"/>
          <w:i/>
          <w:sz w:val="20"/>
          <w:szCs w:val="20"/>
        </w:rPr>
        <w:t>tapia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pode ser considerado elevado quando comparado com resultados obtidos com outras espécies </w:t>
      </w:r>
      <w:r w:rsidR="00DE355A">
        <w:rPr>
          <w:rFonts w:ascii="Times New Roman" w:hAnsi="Times New Roman" w:cs="Times New Roman"/>
          <w:sz w:val="20"/>
          <w:szCs w:val="20"/>
        </w:rPr>
        <w:t xml:space="preserve">da mesma família </w:t>
      </w:r>
      <w:r w:rsidRPr="00E66785">
        <w:rPr>
          <w:rFonts w:ascii="Times New Roman" w:hAnsi="Times New Roman" w:cs="Times New Roman"/>
          <w:sz w:val="20"/>
          <w:szCs w:val="20"/>
        </w:rPr>
        <w:t xml:space="preserve">como </w:t>
      </w:r>
      <w:proofErr w:type="spellStart"/>
      <w:r w:rsidRPr="00E66785">
        <w:rPr>
          <w:rFonts w:ascii="Times New Roman" w:hAnsi="Times New Roman" w:cs="Times New Roman"/>
          <w:i/>
          <w:sz w:val="20"/>
          <w:szCs w:val="20"/>
        </w:rPr>
        <w:t>Capparis</w:t>
      </w:r>
      <w:proofErr w:type="spellEnd"/>
      <w:r w:rsidRPr="00E6678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66785">
        <w:rPr>
          <w:rFonts w:ascii="Times New Roman" w:hAnsi="Times New Roman" w:cs="Times New Roman"/>
          <w:i/>
          <w:sz w:val="20"/>
          <w:szCs w:val="20"/>
        </w:rPr>
        <w:t>spinosa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>, que apresentou teor de 427,27 mg GAE/g (MANSOUR et al. 2016)</w:t>
      </w:r>
      <w:r w:rsidR="00DE355A">
        <w:rPr>
          <w:rFonts w:ascii="Times New Roman" w:hAnsi="Times New Roman" w:cs="Times New Roman"/>
          <w:sz w:val="20"/>
          <w:szCs w:val="20"/>
        </w:rPr>
        <w:t xml:space="preserve">, assim quando comparado a </w:t>
      </w:r>
      <w:r w:rsidR="009F1D2D">
        <w:rPr>
          <w:rFonts w:ascii="Times New Roman" w:hAnsi="Times New Roman" w:cs="Times New Roman"/>
          <w:sz w:val="20"/>
          <w:szCs w:val="20"/>
        </w:rPr>
        <w:t xml:space="preserve">outras frutíferas como o </w:t>
      </w:r>
      <w:r w:rsidRPr="00E66785">
        <w:rPr>
          <w:rFonts w:ascii="Times New Roman" w:hAnsi="Times New Roman" w:cs="Times New Roman"/>
          <w:sz w:val="20"/>
          <w:szCs w:val="20"/>
        </w:rPr>
        <w:t>jenipapo</w:t>
      </w:r>
      <w:r w:rsidR="009F1D2D">
        <w:rPr>
          <w:rFonts w:ascii="Times New Roman" w:hAnsi="Times New Roman" w:cs="Times New Roman"/>
          <w:sz w:val="20"/>
          <w:szCs w:val="20"/>
        </w:rPr>
        <w:t xml:space="preserve"> (</w:t>
      </w:r>
      <w:r w:rsidR="009F1D2D" w:rsidRPr="00E66785">
        <w:rPr>
          <w:rFonts w:ascii="Times New Roman" w:hAnsi="Times New Roman" w:cs="Times New Roman"/>
          <w:sz w:val="20"/>
          <w:szCs w:val="20"/>
        </w:rPr>
        <w:t>187,7 mg EAG/g</w:t>
      </w:r>
      <w:r w:rsidR="009F1D2D">
        <w:rPr>
          <w:rFonts w:ascii="Times New Roman" w:hAnsi="Times New Roman" w:cs="Times New Roman"/>
          <w:sz w:val="20"/>
          <w:szCs w:val="20"/>
        </w:rPr>
        <w:t>)</w:t>
      </w:r>
      <w:r w:rsidRPr="00E66785">
        <w:rPr>
          <w:rFonts w:ascii="Times New Roman" w:hAnsi="Times New Roman" w:cs="Times New Roman"/>
          <w:sz w:val="20"/>
          <w:szCs w:val="20"/>
        </w:rPr>
        <w:t xml:space="preserve">, </w:t>
      </w:r>
      <w:r w:rsidR="009F1D2D">
        <w:rPr>
          <w:rFonts w:ascii="Times New Roman" w:hAnsi="Times New Roman" w:cs="Times New Roman"/>
          <w:sz w:val="20"/>
          <w:szCs w:val="20"/>
        </w:rPr>
        <w:t>a seriguela (</w:t>
      </w:r>
      <w:r w:rsidR="009F1D2D" w:rsidRPr="00E66785">
        <w:rPr>
          <w:rFonts w:ascii="Times New Roman" w:hAnsi="Times New Roman" w:cs="Times New Roman"/>
          <w:sz w:val="20"/>
          <w:szCs w:val="20"/>
        </w:rPr>
        <w:t>112,2 mg EAG/g</w:t>
      </w:r>
      <w:r w:rsidR="009F1D2D">
        <w:rPr>
          <w:rFonts w:ascii="Times New Roman" w:hAnsi="Times New Roman" w:cs="Times New Roman"/>
          <w:sz w:val="20"/>
          <w:szCs w:val="20"/>
        </w:rPr>
        <w:t>)</w:t>
      </w:r>
      <w:r w:rsidRPr="00E66785">
        <w:rPr>
          <w:rFonts w:ascii="Times New Roman" w:hAnsi="Times New Roman" w:cs="Times New Roman"/>
          <w:sz w:val="20"/>
          <w:szCs w:val="20"/>
        </w:rPr>
        <w:t xml:space="preserve"> e em umbu</w:t>
      </w:r>
      <w:r w:rsidR="009F1D2D">
        <w:rPr>
          <w:rFonts w:ascii="Times New Roman" w:hAnsi="Times New Roman" w:cs="Times New Roman"/>
          <w:sz w:val="20"/>
          <w:szCs w:val="20"/>
        </w:rPr>
        <w:t xml:space="preserve"> (</w:t>
      </w:r>
      <w:r w:rsidR="009F1D2D" w:rsidRPr="00E66785">
        <w:rPr>
          <w:rFonts w:ascii="Times New Roman" w:hAnsi="Times New Roman" w:cs="Times New Roman"/>
          <w:sz w:val="20"/>
          <w:szCs w:val="20"/>
        </w:rPr>
        <w:t>52,5 mg EAG/g</w:t>
      </w:r>
      <w:r w:rsidR="009F1D2D">
        <w:rPr>
          <w:rFonts w:ascii="Times New Roman" w:hAnsi="Times New Roman" w:cs="Times New Roman"/>
          <w:sz w:val="20"/>
          <w:szCs w:val="20"/>
        </w:rPr>
        <w:t>) (OMENA et al.; 2012).</w:t>
      </w:r>
      <w:r w:rsidRPr="00E6678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0E6479" w14:textId="5BD14E1E" w:rsidR="0086041C" w:rsidRPr="00E66785" w:rsidRDefault="0086041C" w:rsidP="00E667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>Os valores</w:t>
      </w:r>
      <w:r w:rsidR="00CC4457" w:rsidRPr="00E66785">
        <w:rPr>
          <w:rFonts w:ascii="Times New Roman" w:hAnsi="Times New Roman" w:cs="Times New Roman"/>
          <w:sz w:val="20"/>
          <w:szCs w:val="20"/>
        </w:rPr>
        <w:t xml:space="preserve"> de flavonoides foram </w:t>
      </w:r>
      <w:r w:rsidRPr="00E66785">
        <w:rPr>
          <w:rFonts w:ascii="Times New Roman" w:hAnsi="Times New Roman" w:cs="Times New Roman"/>
          <w:sz w:val="20"/>
          <w:szCs w:val="20"/>
        </w:rPr>
        <w:t xml:space="preserve">obtidos de absorbância das amostras em 420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nm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, f substituídos na equação da reta obtida pela curva de calibração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quercetina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, e então calculado os teores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flavonóides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, expressos em miligrama equivalente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quercetina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>/g de amostra. O coeficiente de determinação (R</w:t>
      </w:r>
      <w:r w:rsidRPr="00E6678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66785">
        <w:rPr>
          <w:rFonts w:ascii="Times New Roman" w:hAnsi="Times New Roman" w:cs="Times New Roman"/>
          <w:sz w:val="20"/>
          <w:szCs w:val="20"/>
        </w:rPr>
        <w:t xml:space="preserve">) foi superior a 0,9 para a curva de calibração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quercetina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(Figura 3). Através da equação da reta foi possível determinar o valor de 145,15 equivalentes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quercetina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/g da amostra de</w:t>
      </w:r>
      <w:r w:rsidR="00DE35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E355A">
        <w:rPr>
          <w:rFonts w:ascii="Times New Roman" w:hAnsi="Times New Roman" w:cs="Times New Roman"/>
          <w:sz w:val="20"/>
          <w:szCs w:val="20"/>
        </w:rPr>
        <w:t>flavonóides</w:t>
      </w:r>
      <w:proofErr w:type="spellEnd"/>
      <w:r w:rsidR="00DE355A">
        <w:rPr>
          <w:rFonts w:ascii="Times New Roman" w:hAnsi="Times New Roman" w:cs="Times New Roman"/>
          <w:sz w:val="20"/>
          <w:szCs w:val="20"/>
        </w:rPr>
        <w:t xml:space="preserve"> totais da amostra, </w:t>
      </w:r>
      <w:r w:rsidR="00DE355A">
        <w:rPr>
          <w:rFonts w:ascii="Times New Roman" w:hAnsi="Times New Roman" w:cs="Times New Roman"/>
          <w:sz w:val="20"/>
          <w:szCs w:val="20"/>
        </w:rPr>
        <w:lastRenderedPageBreak/>
        <w:t xml:space="preserve">valor superior ao encontrado na espécie </w:t>
      </w:r>
      <w:proofErr w:type="spellStart"/>
      <w:r w:rsidR="00DE355A" w:rsidRPr="00E66785">
        <w:rPr>
          <w:rFonts w:ascii="Times New Roman" w:hAnsi="Times New Roman" w:cs="Times New Roman"/>
          <w:i/>
          <w:sz w:val="20"/>
          <w:szCs w:val="20"/>
        </w:rPr>
        <w:t>Capparis</w:t>
      </w:r>
      <w:proofErr w:type="spellEnd"/>
      <w:r w:rsidR="00DE355A" w:rsidRPr="00E6678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E355A" w:rsidRPr="00E66785">
        <w:rPr>
          <w:rFonts w:ascii="Times New Roman" w:hAnsi="Times New Roman" w:cs="Times New Roman"/>
          <w:i/>
          <w:sz w:val="20"/>
          <w:szCs w:val="20"/>
        </w:rPr>
        <w:t>spinosa</w:t>
      </w:r>
      <w:proofErr w:type="spellEnd"/>
      <w:r w:rsidR="00DE355A" w:rsidRPr="00E66785">
        <w:rPr>
          <w:rFonts w:ascii="Times New Roman" w:hAnsi="Times New Roman" w:cs="Times New Roman"/>
          <w:sz w:val="20"/>
          <w:szCs w:val="20"/>
        </w:rPr>
        <w:t xml:space="preserve"> que foi de 57,93 mg </w:t>
      </w:r>
      <w:proofErr w:type="spellStart"/>
      <w:r w:rsidR="00DE355A" w:rsidRPr="00E66785">
        <w:rPr>
          <w:rFonts w:ascii="Times New Roman" w:hAnsi="Times New Roman" w:cs="Times New Roman"/>
          <w:sz w:val="20"/>
          <w:szCs w:val="20"/>
        </w:rPr>
        <w:t>quercetina</w:t>
      </w:r>
      <w:proofErr w:type="spellEnd"/>
      <w:r w:rsidR="00DE355A" w:rsidRPr="00E66785">
        <w:rPr>
          <w:rFonts w:ascii="Times New Roman" w:hAnsi="Times New Roman" w:cs="Times New Roman"/>
          <w:sz w:val="20"/>
          <w:szCs w:val="20"/>
        </w:rPr>
        <w:t>/g da amostra</w:t>
      </w:r>
      <w:r w:rsidR="00DE355A">
        <w:rPr>
          <w:rFonts w:ascii="Times New Roman" w:hAnsi="Times New Roman" w:cs="Times New Roman"/>
          <w:sz w:val="20"/>
          <w:szCs w:val="20"/>
        </w:rPr>
        <w:t xml:space="preserve"> por </w:t>
      </w:r>
      <w:r w:rsidRPr="00E66785">
        <w:rPr>
          <w:rFonts w:ascii="Times New Roman" w:hAnsi="Times New Roman" w:cs="Times New Roman"/>
          <w:sz w:val="20"/>
          <w:szCs w:val="20"/>
        </w:rPr>
        <w:t xml:space="preserve">(MANSOUR et al. 2016). </w:t>
      </w:r>
    </w:p>
    <w:p w14:paraId="6E314F32" w14:textId="77777777" w:rsidR="0086041C" w:rsidRPr="00E66785" w:rsidRDefault="0086041C" w:rsidP="00E667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4B817D0" w14:textId="77777777" w:rsidR="0086041C" w:rsidRPr="00E66785" w:rsidRDefault="0086041C" w:rsidP="00E66785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0ABE4BE9" wp14:editId="4172D541">
            <wp:extent cx="3812516" cy="2291511"/>
            <wp:effectExtent l="0" t="0" r="17145" b="13970"/>
            <wp:docPr id="7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5768112" w14:textId="77777777" w:rsidR="0086041C" w:rsidRPr="00E66785" w:rsidRDefault="0086041C" w:rsidP="00E667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B71BB5">
        <w:rPr>
          <w:rFonts w:ascii="Times New Roman" w:hAnsi="Times New Roman" w:cs="Times New Roman"/>
          <w:sz w:val="20"/>
          <w:szCs w:val="20"/>
        </w:rPr>
        <w:t>Figura 3 –</w:t>
      </w:r>
      <w:r w:rsidRPr="00E66785">
        <w:rPr>
          <w:rFonts w:ascii="Times New Roman" w:hAnsi="Times New Roman" w:cs="Times New Roman"/>
          <w:sz w:val="20"/>
          <w:szCs w:val="20"/>
        </w:rPr>
        <w:t xml:space="preserve"> Curva padrão para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flavonóides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>.</w:t>
      </w:r>
    </w:p>
    <w:p w14:paraId="3E4268C7" w14:textId="77777777" w:rsidR="0086041C" w:rsidRPr="00E66785" w:rsidRDefault="0086041C" w:rsidP="00E6678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14:paraId="14BA80F3" w14:textId="70887010" w:rsidR="00AD1854" w:rsidRDefault="00CC4457" w:rsidP="00E667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 xml:space="preserve">Avaliando o </w:t>
      </w:r>
      <w:r w:rsidR="0086041C" w:rsidRPr="00E66785">
        <w:rPr>
          <w:rFonts w:ascii="Times New Roman" w:hAnsi="Times New Roman" w:cs="Times New Roman"/>
          <w:sz w:val="20"/>
          <w:szCs w:val="20"/>
        </w:rPr>
        <w:t xml:space="preserve">efeito </w:t>
      </w:r>
      <w:r w:rsidRPr="00E66785">
        <w:rPr>
          <w:rFonts w:ascii="Times New Roman" w:hAnsi="Times New Roman" w:cs="Times New Roman"/>
          <w:sz w:val="20"/>
          <w:szCs w:val="20"/>
        </w:rPr>
        <w:t xml:space="preserve">alelopático </w:t>
      </w:r>
      <w:r w:rsidR="0086041C" w:rsidRPr="00E66785">
        <w:rPr>
          <w:rFonts w:ascii="Times New Roman" w:hAnsi="Times New Roman" w:cs="Times New Roman"/>
          <w:sz w:val="20"/>
          <w:szCs w:val="20"/>
        </w:rPr>
        <w:t xml:space="preserve">com as diferentes concentrações do extrato </w:t>
      </w:r>
      <w:proofErr w:type="spellStart"/>
      <w:r w:rsidR="0086041C" w:rsidRPr="00E66785">
        <w:rPr>
          <w:rFonts w:ascii="Times New Roman" w:hAnsi="Times New Roman" w:cs="Times New Roman"/>
          <w:sz w:val="20"/>
          <w:szCs w:val="20"/>
        </w:rPr>
        <w:t>etanólico</w:t>
      </w:r>
      <w:proofErr w:type="spellEnd"/>
      <w:r w:rsidR="0086041C" w:rsidRPr="00E66785">
        <w:rPr>
          <w:rFonts w:ascii="Times New Roman" w:hAnsi="Times New Roman" w:cs="Times New Roman"/>
          <w:sz w:val="20"/>
          <w:szCs w:val="20"/>
        </w:rPr>
        <w:t xml:space="preserve"> das folhas de </w:t>
      </w:r>
      <w:r w:rsidRPr="00E66785">
        <w:rPr>
          <w:rFonts w:ascii="Times New Roman" w:hAnsi="Times New Roman" w:cs="Times New Roman"/>
          <w:i/>
          <w:sz w:val="20"/>
          <w:szCs w:val="20"/>
        </w:rPr>
        <w:t xml:space="preserve">C. </w:t>
      </w:r>
      <w:proofErr w:type="spellStart"/>
      <w:r w:rsidRPr="00E66785">
        <w:rPr>
          <w:rFonts w:ascii="Times New Roman" w:hAnsi="Times New Roman" w:cs="Times New Roman"/>
          <w:i/>
          <w:sz w:val="20"/>
          <w:szCs w:val="20"/>
        </w:rPr>
        <w:t>tapia</w:t>
      </w:r>
      <w:proofErr w:type="spellEnd"/>
      <w:r w:rsidRPr="00E6678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6041C" w:rsidRPr="00E66785">
        <w:rPr>
          <w:rFonts w:ascii="Times New Roman" w:hAnsi="Times New Roman" w:cs="Times New Roman"/>
          <w:sz w:val="20"/>
          <w:szCs w:val="20"/>
        </w:rPr>
        <w:t>sobre a germinação das sementes de alface</w:t>
      </w:r>
      <w:r w:rsidR="00DE355A">
        <w:rPr>
          <w:rFonts w:ascii="Times New Roman" w:hAnsi="Times New Roman" w:cs="Times New Roman"/>
          <w:sz w:val="20"/>
          <w:szCs w:val="20"/>
        </w:rPr>
        <w:t xml:space="preserve"> (Tabela 2)</w:t>
      </w:r>
      <w:r w:rsidR="0086041C" w:rsidRPr="00E66785">
        <w:rPr>
          <w:rFonts w:ascii="Times New Roman" w:hAnsi="Times New Roman" w:cs="Times New Roman"/>
          <w:sz w:val="20"/>
          <w:szCs w:val="20"/>
        </w:rPr>
        <w:t xml:space="preserve"> mostraram-se significativos em relação ao controle (p&lt;0,05)</w:t>
      </w:r>
      <w:r w:rsidR="00DE355A">
        <w:rPr>
          <w:rFonts w:ascii="Times New Roman" w:hAnsi="Times New Roman" w:cs="Times New Roman"/>
          <w:sz w:val="20"/>
          <w:szCs w:val="20"/>
        </w:rPr>
        <w:t xml:space="preserve">, com </w:t>
      </w:r>
      <w:r w:rsidR="0086041C" w:rsidRPr="00E66785">
        <w:rPr>
          <w:rFonts w:ascii="Times New Roman" w:hAnsi="Times New Roman" w:cs="Times New Roman"/>
          <w:sz w:val="20"/>
          <w:szCs w:val="20"/>
        </w:rPr>
        <w:t xml:space="preserve">porcentagem de germinação das sementes </w:t>
      </w:r>
      <w:r w:rsidR="00DE355A">
        <w:rPr>
          <w:rFonts w:ascii="Times New Roman" w:hAnsi="Times New Roman" w:cs="Times New Roman"/>
          <w:sz w:val="20"/>
          <w:szCs w:val="20"/>
        </w:rPr>
        <w:t xml:space="preserve">sendo </w:t>
      </w:r>
      <w:r w:rsidR="0086041C" w:rsidRPr="00E66785">
        <w:rPr>
          <w:rFonts w:ascii="Times New Roman" w:hAnsi="Times New Roman" w:cs="Times New Roman"/>
          <w:sz w:val="20"/>
          <w:szCs w:val="20"/>
        </w:rPr>
        <w:t>significativamente</w:t>
      </w:r>
      <w:r w:rsidR="00DE355A">
        <w:rPr>
          <w:rFonts w:ascii="Times New Roman" w:hAnsi="Times New Roman" w:cs="Times New Roman"/>
          <w:sz w:val="20"/>
          <w:szCs w:val="20"/>
        </w:rPr>
        <w:t xml:space="preserve"> </w:t>
      </w:r>
      <w:r w:rsidR="00DE355A" w:rsidRPr="00E66785">
        <w:rPr>
          <w:rFonts w:ascii="Times New Roman" w:hAnsi="Times New Roman" w:cs="Times New Roman"/>
          <w:sz w:val="20"/>
          <w:szCs w:val="20"/>
        </w:rPr>
        <w:t>reduzida</w:t>
      </w:r>
      <w:r w:rsidR="0086041C" w:rsidRPr="00E66785">
        <w:rPr>
          <w:rFonts w:ascii="Times New Roman" w:hAnsi="Times New Roman" w:cs="Times New Roman"/>
          <w:sz w:val="20"/>
          <w:szCs w:val="20"/>
        </w:rPr>
        <w:t xml:space="preserve"> nos tratamentos nas concentrações mais </w:t>
      </w:r>
      <w:r w:rsidR="0086041C" w:rsidRPr="00D25E94">
        <w:rPr>
          <w:rFonts w:ascii="Times New Roman" w:hAnsi="Times New Roman" w:cs="Times New Roman"/>
          <w:sz w:val="20"/>
          <w:szCs w:val="20"/>
        </w:rPr>
        <w:t>elevadas (0,6; 0,8 e 1 mg/ml)</w:t>
      </w:r>
      <w:r w:rsidR="0086041C" w:rsidRPr="00E66785">
        <w:rPr>
          <w:rFonts w:ascii="Times New Roman" w:hAnsi="Times New Roman" w:cs="Times New Roman"/>
          <w:sz w:val="20"/>
          <w:szCs w:val="20"/>
        </w:rPr>
        <w:t xml:space="preserve"> dos extratos evidenciando a existência de efeito alelopático inibitório nas folhas de </w:t>
      </w:r>
      <w:r w:rsidR="00AD1854" w:rsidRPr="00E66785">
        <w:rPr>
          <w:rFonts w:ascii="Times New Roman" w:hAnsi="Times New Roman" w:cs="Times New Roman"/>
          <w:i/>
          <w:sz w:val="20"/>
          <w:szCs w:val="20"/>
        </w:rPr>
        <w:t xml:space="preserve">C. </w:t>
      </w:r>
      <w:proofErr w:type="spellStart"/>
      <w:r w:rsidR="00AD1854" w:rsidRPr="00E66785">
        <w:rPr>
          <w:rFonts w:ascii="Times New Roman" w:hAnsi="Times New Roman" w:cs="Times New Roman"/>
          <w:i/>
          <w:sz w:val="20"/>
          <w:szCs w:val="20"/>
        </w:rPr>
        <w:t>tapia</w:t>
      </w:r>
      <w:proofErr w:type="spellEnd"/>
      <w:r w:rsidR="0086041C" w:rsidRPr="00E6678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1F197E8" w14:textId="77777777" w:rsidR="00E66785" w:rsidRPr="00E66785" w:rsidRDefault="00E66785" w:rsidP="00E667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C5D90E0" w14:textId="77777777" w:rsidR="0086041C" w:rsidRPr="00E66785" w:rsidRDefault="0086041C" w:rsidP="00B71BB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 xml:space="preserve"> </w:t>
      </w:r>
      <w:r w:rsidRPr="00B71BB5">
        <w:rPr>
          <w:rFonts w:ascii="Times New Roman" w:hAnsi="Times New Roman" w:cs="Times New Roman"/>
          <w:sz w:val="20"/>
          <w:szCs w:val="20"/>
        </w:rPr>
        <w:t>Tabela 2 –</w:t>
      </w:r>
      <w:r w:rsidRPr="00E66785">
        <w:rPr>
          <w:rFonts w:ascii="Times New Roman" w:hAnsi="Times New Roman" w:cs="Times New Roman"/>
          <w:sz w:val="20"/>
          <w:szCs w:val="20"/>
        </w:rPr>
        <w:t xml:space="preserve"> Porcentagem de germinação de sementes de alface (</w:t>
      </w:r>
      <w:proofErr w:type="spellStart"/>
      <w:r w:rsidRPr="00E66785">
        <w:rPr>
          <w:rFonts w:ascii="Times New Roman" w:hAnsi="Times New Roman" w:cs="Times New Roman"/>
          <w:i/>
          <w:sz w:val="20"/>
          <w:szCs w:val="20"/>
        </w:rPr>
        <w:t>Lactuca</w:t>
      </w:r>
      <w:proofErr w:type="spellEnd"/>
      <w:r w:rsidRPr="00E66785">
        <w:rPr>
          <w:rFonts w:ascii="Times New Roman" w:hAnsi="Times New Roman" w:cs="Times New Roman"/>
          <w:i/>
          <w:sz w:val="20"/>
          <w:szCs w:val="20"/>
        </w:rPr>
        <w:t xml:space="preserve"> sativa</w:t>
      </w:r>
      <w:r w:rsidRPr="00E66785">
        <w:rPr>
          <w:rFonts w:ascii="Times New Roman" w:hAnsi="Times New Roman" w:cs="Times New Roman"/>
          <w:sz w:val="20"/>
          <w:szCs w:val="20"/>
        </w:rPr>
        <w:t xml:space="preserve"> L.) submetidas a diferentes concentrações de extratos de folhas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trapiá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E66785">
        <w:rPr>
          <w:rFonts w:ascii="Times New Roman" w:hAnsi="Times New Roman" w:cs="Times New Roman"/>
          <w:i/>
          <w:sz w:val="20"/>
          <w:szCs w:val="20"/>
        </w:rPr>
        <w:t>Crataeva</w:t>
      </w:r>
      <w:proofErr w:type="spellEnd"/>
      <w:r w:rsidRPr="00E6678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66785">
        <w:rPr>
          <w:rFonts w:ascii="Times New Roman" w:hAnsi="Times New Roman" w:cs="Times New Roman"/>
          <w:i/>
          <w:sz w:val="20"/>
          <w:szCs w:val="20"/>
        </w:rPr>
        <w:t>tapia</w:t>
      </w:r>
      <w:proofErr w:type="spellEnd"/>
      <w:r w:rsidRPr="00E6678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66785">
        <w:rPr>
          <w:rFonts w:ascii="Times New Roman" w:hAnsi="Times New Roman" w:cs="Times New Roman"/>
          <w:sz w:val="20"/>
          <w:szCs w:val="20"/>
        </w:rPr>
        <w:t>L.).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9"/>
        <w:gridCol w:w="4245"/>
      </w:tblGrid>
      <w:tr w:rsidR="0086041C" w:rsidRPr="00E66785" w14:paraId="68AD21A1" w14:textId="77777777" w:rsidTr="00271BC8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6C8BA2EF" w14:textId="77777777" w:rsidR="0086041C" w:rsidRPr="00AB352B" w:rsidRDefault="0086041C" w:rsidP="00E66785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B352B">
              <w:rPr>
                <w:rFonts w:ascii="Times New Roman" w:hAnsi="Times New Roman" w:cs="Times New Roman"/>
                <w:sz w:val="20"/>
                <w:szCs w:val="20"/>
              </w:rPr>
              <w:t>Concentração (mg/</w:t>
            </w:r>
            <w:proofErr w:type="spellStart"/>
            <w:r w:rsidRPr="00AB352B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AB35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43F6A88E" w14:textId="77777777" w:rsidR="0086041C" w:rsidRPr="00AB352B" w:rsidRDefault="0086041C" w:rsidP="00E66785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B352B">
              <w:rPr>
                <w:rFonts w:ascii="Times New Roman" w:hAnsi="Times New Roman" w:cs="Times New Roman"/>
                <w:sz w:val="20"/>
                <w:szCs w:val="20"/>
              </w:rPr>
              <w:t>% Germinação</w:t>
            </w:r>
          </w:p>
        </w:tc>
      </w:tr>
      <w:tr w:rsidR="0086041C" w:rsidRPr="00E66785" w14:paraId="13C29DA5" w14:textId="77777777" w:rsidTr="00271BC8">
        <w:tc>
          <w:tcPr>
            <w:tcW w:w="4322" w:type="dxa"/>
            <w:tcBorders>
              <w:top w:val="single" w:sz="4" w:space="0" w:color="auto"/>
            </w:tcBorders>
          </w:tcPr>
          <w:p w14:paraId="54F019B8" w14:textId="77777777" w:rsidR="0086041C" w:rsidRPr="00AB352B" w:rsidRDefault="0086041C" w:rsidP="00E66785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B352B">
              <w:rPr>
                <w:rFonts w:ascii="Times New Roman" w:hAnsi="Times New Roman" w:cs="Times New Roman"/>
                <w:sz w:val="20"/>
                <w:szCs w:val="20"/>
              </w:rPr>
              <w:t>0,0 - (H</w:t>
            </w:r>
            <w:r w:rsidRPr="00AB352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AB352B">
              <w:rPr>
                <w:rFonts w:ascii="Times New Roman" w:hAnsi="Times New Roman" w:cs="Times New Roman"/>
                <w:sz w:val="20"/>
                <w:szCs w:val="20"/>
              </w:rPr>
              <w:t>O)</w:t>
            </w:r>
          </w:p>
        </w:tc>
        <w:tc>
          <w:tcPr>
            <w:tcW w:w="4322" w:type="dxa"/>
            <w:tcBorders>
              <w:top w:val="single" w:sz="4" w:space="0" w:color="auto"/>
            </w:tcBorders>
          </w:tcPr>
          <w:p w14:paraId="1A1787D4" w14:textId="77777777" w:rsidR="0086041C" w:rsidRPr="00AB352B" w:rsidRDefault="0086041C" w:rsidP="00E66785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B352B">
              <w:rPr>
                <w:rFonts w:ascii="Times New Roman" w:hAnsi="Times New Roman" w:cs="Times New Roman"/>
                <w:sz w:val="20"/>
                <w:szCs w:val="20"/>
              </w:rPr>
              <w:t>100,00 a</w:t>
            </w:r>
          </w:p>
        </w:tc>
      </w:tr>
      <w:tr w:rsidR="0086041C" w:rsidRPr="00E66785" w14:paraId="779793D3" w14:textId="77777777" w:rsidTr="00271BC8">
        <w:tc>
          <w:tcPr>
            <w:tcW w:w="4322" w:type="dxa"/>
          </w:tcPr>
          <w:p w14:paraId="2C267D50" w14:textId="77777777" w:rsidR="0086041C" w:rsidRPr="00AB352B" w:rsidRDefault="0086041C" w:rsidP="00E66785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B352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4322" w:type="dxa"/>
          </w:tcPr>
          <w:p w14:paraId="5BA22CA5" w14:textId="77777777" w:rsidR="0086041C" w:rsidRPr="00AB352B" w:rsidRDefault="0086041C" w:rsidP="00E66785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B352B">
              <w:rPr>
                <w:rFonts w:ascii="Times New Roman" w:hAnsi="Times New Roman" w:cs="Times New Roman"/>
                <w:sz w:val="20"/>
                <w:szCs w:val="20"/>
              </w:rPr>
              <w:t xml:space="preserve">  86,25 b</w:t>
            </w:r>
          </w:p>
        </w:tc>
      </w:tr>
      <w:tr w:rsidR="0086041C" w:rsidRPr="00E66785" w14:paraId="28683575" w14:textId="77777777" w:rsidTr="00271BC8">
        <w:tc>
          <w:tcPr>
            <w:tcW w:w="4322" w:type="dxa"/>
          </w:tcPr>
          <w:p w14:paraId="0D0EF659" w14:textId="77777777" w:rsidR="0086041C" w:rsidRPr="00AB352B" w:rsidRDefault="0086041C" w:rsidP="00E66785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B352B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4322" w:type="dxa"/>
          </w:tcPr>
          <w:p w14:paraId="120D6F01" w14:textId="77777777" w:rsidR="0086041C" w:rsidRPr="00AB352B" w:rsidRDefault="0086041C" w:rsidP="00E66785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B352B">
              <w:rPr>
                <w:rFonts w:ascii="Times New Roman" w:hAnsi="Times New Roman" w:cs="Times New Roman"/>
                <w:sz w:val="20"/>
                <w:szCs w:val="20"/>
              </w:rPr>
              <w:t xml:space="preserve">  75,00 b</w:t>
            </w:r>
          </w:p>
        </w:tc>
      </w:tr>
      <w:tr w:rsidR="0086041C" w:rsidRPr="00E66785" w14:paraId="07BB1B1F" w14:textId="77777777" w:rsidTr="00271BC8">
        <w:tc>
          <w:tcPr>
            <w:tcW w:w="4322" w:type="dxa"/>
          </w:tcPr>
          <w:p w14:paraId="40D796E8" w14:textId="77777777" w:rsidR="0086041C" w:rsidRPr="00AB352B" w:rsidRDefault="0086041C" w:rsidP="00E66785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B352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4322" w:type="dxa"/>
          </w:tcPr>
          <w:p w14:paraId="29C50E1C" w14:textId="77777777" w:rsidR="0086041C" w:rsidRPr="00AB352B" w:rsidRDefault="0086041C" w:rsidP="00E66785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B352B">
              <w:rPr>
                <w:rFonts w:ascii="Times New Roman" w:hAnsi="Times New Roman" w:cs="Times New Roman"/>
                <w:sz w:val="20"/>
                <w:szCs w:val="20"/>
              </w:rPr>
              <w:t xml:space="preserve">    6,25 c</w:t>
            </w:r>
          </w:p>
        </w:tc>
      </w:tr>
      <w:tr w:rsidR="0086041C" w:rsidRPr="00E66785" w14:paraId="2C736B01" w14:textId="77777777" w:rsidTr="00271BC8">
        <w:tc>
          <w:tcPr>
            <w:tcW w:w="4322" w:type="dxa"/>
          </w:tcPr>
          <w:p w14:paraId="300C2AA9" w14:textId="77777777" w:rsidR="0086041C" w:rsidRPr="00AB352B" w:rsidRDefault="0086041C" w:rsidP="00E66785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B352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4322" w:type="dxa"/>
          </w:tcPr>
          <w:p w14:paraId="5DCD6A49" w14:textId="77777777" w:rsidR="0086041C" w:rsidRPr="00AB352B" w:rsidRDefault="0086041C" w:rsidP="00E66785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B352B">
              <w:rPr>
                <w:rFonts w:ascii="Times New Roman" w:hAnsi="Times New Roman" w:cs="Times New Roman"/>
                <w:sz w:val="20"/>
                <w:szCs w:val="20"/>
              </w:rPr>
              <w:t xml:space="preserve">    1,25 c</w:t>
            </w:r>
          </w:p>
        </w:tc>
      </w:tr>
      <w:tr w:rsidR="0086041C" w:rsidRPr="00E66785" w14:paraId="4CD5BC54" w14:textId="77777777" w:rsidTr="00271BC8">
        <w:tc>
          <w:tcPr>
            <w:tcW w:w="4322" w:type="dxa"/>
            <w:tcBorders>
              <w:bottom w:val="single" w:sz="4" w:space="0" w:color="auto"/>
            </w:tcBorders>
          </w:tcPr>
          <w:p w14:paraId="62DCE233" w14:textId="77777777" w:rsidR="0086041C" w:rsidRPr="00AB352B" w:rsidRDefault="0086041C" w:rsidP="00E66785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B352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4EDE9A64" w14:textId="77777777" w:rsidR="0086041C" w:rsidRPr="00AB352B" w:rsidRDefault="0086041C" w:rsidP="00E66785">
            <w:pPr>
              <w:spacing w:after="0" w:line="36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B352B">
              <w:rPr>
                <w:rFonts w:ascii="Times New Roman" w:hAnsi="Times New Roman" w:cs="Times New Roman"/>
                <w:sz w:val="20"/>
                <w:szCs w:val="20"/>
              </w:rPr>
              <w:t xml:space="preserve">    0,00 c</w:t>
            </w:r>
          </w:p>
        </w:tc>
      </w:tr>
    </w:tbl>
    <w:p w14:paraId="3EA6BFBA" w14:textId="77777777" w:rsidR="0086041C" w:rsidRDefault="0086041C" w:rsidP="00E667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 xml:space="preserve">Médias seguidas pela mesma letra não diferem estatisticamente entre si. Foi aplicado o teste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Dunnett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ao nível de 5% de probabilidade.</w:t>
      </w:r>
    </w:p>
    <w:p w14:paraId="1E161AEA" w14:textId="77777777" w:rsidR="00E66785" w:rsidRPr="00E66785" w:rsidRDefault="00E66785" w:rsidP="00E667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3FF1B69" w14:textId="48729FF3" w:rsidR="0086041C" w:rsidRDefault="0086041C" w:rsidP="001710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 xml:space="preserve">Para o manejo de plantas daninhas a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alelopatia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pode ser considerada uma alternativa viável, devido a seu potencial de interação e importância ecológica, e podem contribuir fornecendo novas estruturas químicas para produção de bioativos, atuando no combate as pragas ou plantas invasoras, causando menos impacto ao ambiente (SANTORE, 2013). </w:t>
      </w:r>
    </w:p>
    <w:p w14:paraId="706EF98D" w14:textId="77777777" w:rsidR="00171074" w:rsidRPr="00E26A9B" w:rsidRDefault="00171074" w:rsidP="0017107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2A4681" w14:textId="454F0F82" w:rsidR="0086041C" w:rsidRPr="00940F01" w:rsidRDefault="00B42081" w:rsidP="0086041C">
      <w:pPr>
        <w:pStyle w:val="Default"/>
        <w:tabs>
          <w:tab w:val="center" w:pos="3402"/>
        </w:tabs>
        <w:spacing w:line="360" w:lineRule="auto"/>
        <w:jc w:val="both"/>
        <w:rPr>
          <w:shd w:val="clear" w:color="auto" w:fill="FFFFFF"/>
        </w:rPr>
      </w:pPr>
      <w:r w:rsidRPr="00DB35B1">
        <w:rPr>
          <w:b/>
          <w:shd w:val="clear" w:color="auto" w:fill="FFFFFF"/>
        </w:rPr>
        <w:lastRenderedPageBreak/>
        <w:t>4.</w:t>
      </w:r>
      <w:r w:rsidR="0086041C" w:rsidRPr="00DB35B1">
        <w:rPr>
          <w:b/>
          <w:shd w:val="clear" w:color="auto" w:fill="FFFFFF"/>
        </w:rPr>
        <w:t>CONCLUSÕES</w:t>
      </w:r>
    </w:p>
    <w:p w14:paraId="1ADF9271" w14:textId="77777777" w:rsidR="0086041C" w:rsidRPr="00E66785" w:rsidRDefault="0086041C" w:rsidP="005F3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 xml:space="preserve">O extrato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etanólico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das folhas de </w:t>
      </w:r>
      <w:proofErr w:type="spellStart"/>
      <w:r w:rsidRPr="00E66785">
        <w:rPr>
          <w:rFonts w:ascii="Times New Roman" w:hAnsi="Times New Roman" w:cs="Times New Roman"/>
          <w:i/>
          <w:sz w:val="20"/>
          <w:szCs w:val="20"/>
        </w:rPr>
        <w:t>Crataeva</w:t>
      </w:r>
      <w:proofErr w:type="spellEnd"/>
      <w:r w:rsidRPr="00E6678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66785">
        <w:rPr>
          <w:rFonts w:ascii="Times New Roman" w:hAnsi="Times New Roman" w:cs="Times New Roman"/>
          <w:i/>
          <w:sz w:val="20"/>
          <w:szCs w:val="20"/>
        </w:rPr>
        <w:t>tapia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L., apresentou uma eficiente atividade antioxidante mediante o teste de DPPH, além de demonstrar um resultado significativo de teor de compostos fenólicos e teor 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flavonóides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totais o que corrobora com a atividade antioxidante da amostra vegetal, podendo ser utilizada como provável fonte de compostos antioxidantes naturais na indústria alimentícia e farmacêutica.</w:t>
      </w:r>
    </w:p>
    <w:p w14:paraId="70B4CF2E" w14:textId="7FD27414" w:rsidR="0086041C" w:rsidRDefault="0086041C" w:rsidP="005F3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6785">
        <w:rPr>
          <w:rFonts w:ascii="Times New Roman" w:hAnsi="Times New Roman" w:cs="Times New Roman"/>
          <w:sz w:val="20"/>
          <w:szCs w:val="20"/>
        </w:rPr>
        <w:t xml:space="preserve">O extrato das folhas da espécie apresentou forte atividade </w:t>
      </w:r>
      <w:proofErr w:type="spellStart"/>
      <w:r w:rsidRPr="00E66785">
        <w:rPr>
          <w:rFonts w:ascii="Times New Roman" w:hAnsi="Times New Roman" w:cs="Times New Roman"/>
          <w:sz w:val="20"/>
          <w:szCs w:val="20"/>
        </w:rPr>
        <w:t>alelopática</w:t>
      </w:r>
      <w:proofErr w:type="spellEnd"/>
      <w:r w:rsidRPr="00E66785">
        <w:rPr>
          <w:rFonts w:ascii="Times New Roman" w:hAnsi="Times New Roman" w:cs="Times New Roman"/>
          <w:sz w:val="20"/>
          <w:szCs w:val="20"/>
        </w:rPr>
        <w:t xml:space="preserve"> evidenciando potencial para exploração futura como fonte de herbicida natural. </w:t>
      </w:r>
    </w:p>
    <w:p w14:paraId="47BC2604" w14:textId="2CB5566B" w:rsidR="00BD080B" w:rsidRDefault="00BD080B" w:rsidP="005F39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Diante do potencial apresentado evidencia-se estudos visando identificar os compostos que são responsáveis pela atividade antioxidante e alelopática.</w:t>
      </w:r>
    </w:p>
    <w:p w14:paraId="2CE15250" w14:textId="77777777" w:rsidR="0054453A" w:rsidRPr="00E66785" w:rsidRDefault="0054453A" w:rsidP="00E66785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58C59FD" w14:textId="0512CB97" w:rsidR="00C4301C" w:rsidRPr="00566EB7" w:rsidRDefault="00C4301C" w:rsidP="005F39A3">
      <w:pPr>
        <w:pStyle w:val="Default"/>
        <w:spacing w:line="360" w:lineRule="auto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R</w:t>
      </w:r>
      <w:r w:rsidRPr="00FC40E9">
        <w:rPr>
          <w:b/>
          <w:shd w:val="clear" w:color="auto" w:fill="FFFFFF"/>
        </w:rPr>
        <w:t>EFERÊNCIAS</w:t>
      </w:r>
    </w:p>
    <w:p w14:paraId="3FB4A628" w14:textId="2D6D45EA" w:rsidR="009767C8" w:rsidRPr="005F39A3" w:rsidRDefault="00566EB7" w:rsidP="005F39A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F39A3">
        <w:rPr>
          <w:rFonts w:ascii="Times New Roman" w:hAnsi="Times New Roman" w:cs="Times New Roman"/>
          <w:sz w:val="24"/>
          <w:szCs w:val="24"/>
        </w:rPr>
        <w:t>ALVES, R. M. et al</w:t>
      </w:r>
      <w:r w:rsidR="00A9758E" w:rsidRPr="005F39A3">
        <w:rPr>
          <w:rFonts w:ascii="Times New Roman" w:hAnsi="Times New Roman" w:cs="Times New Roman"/>
          <w:sz w:val="24"/>
          <w:szCs w:val="24"/>
        </w:rPr>
        <w:t xml:space="preserve">. Potencial alelopático de folhas secas de </w:t>
      </w:r>
      <w:proofErr w:type="spellStart"/>
      <w:r w:rsidR="00A9758E" w:rsidRPr="005F39A3">
        <w:rPr>
          <w:rFonts w:ascii="Times New Roman" w:hAnsi="Times New Roman" w:cs="Times New Roman"/>
          <w:i/>
          <w:sz w:val="24"/>
          <w:szCs w:val="24"/>
        </w:rPr>
        <w:t>Caesalpinia</w:t>
      </w:r>
      <w:proofErr w:type="spellEnd"/>
      <w:r w:rsidR="00A9758E" w:rsidRPr="005F39A3">
        <w:rPr>
          <w:rFonts w:ascii="Times New Roman" w:hAnsi="Times New Roman" w:cs="Times New Roman"/>
          <w:i/>
          <w:sz w:val="24"/>
          <w:szCs w:val="24"/>
        </w:rPr>
        <w:t xml:space="preserve"> férrea</w:t>
      </w:r>
      <w:r w:rsidR="00A9758E" w:rsidRPr="005F39A3">
        <w:rPr>
          <w:rFonts w:ascii="Times New Roman" w:hAnsi="Times New Roman" w:cs="Times New Roman"/>
          <w:sz w:val="24"/>
          <w:szCs w:val="24"/>
        </w:rPr>
        <w:t xml:space="preserve"> Mart. Em diferentes períodos de decomposição sobre a germinação de </w:t>
      </w:r>
      <w:proofErr w:type="spellStart"/>
      <w:r w:rsidR="00A9758E" w:rsidRPr="005F39A3">
        <w:rPr>
          <w:rFonts w:ascii="Times New Roman" w:hAnsi="Times New Roman" w:cs="Times New Roman"/>
          <w:i/>
          <w:sz w:val="24"/>
          <w:szCs w:val="24"/>
        </w:rPr>
        <w:t>Vigna</w:t>
      </w:r>
      <w:proofErr w:type="spellEnd"/>
      <w:r w:rsidR="00A9758E" w:rsidRPr="005F39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9758E" w:rsidRPr="005F39A3">
        <w:rPr>
          <w:rFonts w:ascii="Times New Roman" w:hAnsi="Times New Roman" w:cs="Times New Roman"/>
          <w:i/>
          <w:sz w:val="24"/>
          <w:szCs w:val="24"/>
        </w:rPr>
        <w:t>unguiculata</w:t>
      </w:r>
      <w:proofErr w:type="spellEnd"/>
      <w:r w:rsidR="00A9758E" w:rsidRPr="005F39A3">
        <w:rPr>
          <w:rFonts w:ascii="Times New Roman" w:hAnsi="Times New Roman" w:cs="Times New Roman"/>
          <w:sz w:val="24"/>
          <w:szCs w:val="24"/>
        </w:rPr>
        <w:t xml:space="preserve"> (L.) </w:t>
      </w:r>
      <w:proofErr w:type="spellStart"/>
      <w:r w:rsidR="00A9758E" w:rsidRPr="005F39A3">
        <w:rPr>
          <w:rFonts w:ascii="Times New Roman" w:hAnsi="Times New Roman" w:cs="Times New Roman"/>
          <w:sz w:val="24"/>
          <w:szCs w:val="24"/>
        </w:rPr>
        <w:t>Walp</w:t>
      </w:r>
      <w:proofErr w:type="spellEnd"/>
      <w:r w:rsidR="00A9758E" w:rsidRPr="005F39A3">
        <w:rPr>
          <w:rFonts w:ascii="Times New Roman" w:hAnsi="Times New Roman" w:cs="Times New Roman"/>
          <w:sz w:val="24"/>
          <w:szCs w:val="24"/>
        </w:rPr>
        <w:t xml:space="preserve">, cv. </w:t>
      </w:r>
      <w:proofErr w:type="spellStart"/>
      <w:r w:rsidR="00A9758E" w:rsidRPr="005F39A3">
        <w:rPr>
          <w:rFonts w:ascii="Times New Roman" w:hAnsi="Times New Roman" w:cs="Times New Roman"/>
          <w:sz w:val="24"/>
          <w:szCs w:val="24"/>
          <w:lang w:val="en-US"/>
        </w:rPr>
        <w:t>Canapu</w:t>
      </w:r>
      <w:proofErr w:type="spellEnd"/>
      <w:r w:rsidR="00A9758E" w:rsidRPr="005F39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C0E7A"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0E7A" w:rsidRPr="005F39A3">
        <w:rPr>
          <w:rFonts w:ascii="Times New Roman" w:hAnsi="Times New Roman" w:cs="Times New Roman"/>
          <w:i/>
          <w:sz w:val="24"/>
          <w:szCs w:val="24"/>
          <w:lang w:val="en-US"/>
        </w:rPr>
        <w:t>Enciclopédia</w:t>
      </w:r>
      <w:proofErr w:type="spellEnd"/>
      <w:r w:rsidR="000C0E7A" w:rsidRPr="005F39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C0E7A" w:rsidRPr="005F39A3">
        <w:rPr>
          <w:rFonts w:ascii="Times New Roman" w:hAnsi="Times New Roman" w:cs="Times New Roman"/>
          <w:i/>
          <w:sz w:val="24"/>
          <w:szCs w:val="24"/>
          <w:lang w:val="en-US"/>
        </w:rPr>
        <w:t>Biosfera</w:t>
      </w:r>
      <w:proofErr w:type="spellEnd"/>
      <w:r w:rsidR="000C0E7A" w:rsidRPr="005F39A3">
        <w:rPr>
          <w:rFonts w:ascii="Times New Roman" w:hAnsi="Times New Roman" w:cs="Times New Roman"/>
          <w:sz w:val="24"/>
          <w:szCs w:val="24"/>
          <w:lang w:val="en-US"/>
        </w:rPr>
        <w:t>, v.15, n.27, p.200-207, 2018.</w:t>
      </w:r>
    </w:p>
    <w:p w14:paraId="268A0AE3" w14:textId="28D3731F" w:rsidR="00A9758E" w:rsidRPr="005F39A3" w:rsidRDefault="00566EB7" w:rsidP="005F39A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CABRAL, D. </w:t>
      </w:r>
      <w:r w:rsidR="00C4301C"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L. de V. et al. Modulatory activity and chemical profile of a hydroalcoholic extract of </w:t>
      </w:r>
      <w:proofErr w:type="spellStart"/>
      <w:r w:rsidR="00C4301C" w:rsidRPr="005F39A3">
        <w:rPr>
          <w:rFonts w:ascii="Times New Roman" w:hAnsi="Times New Roman" w:cs="Times New Roman"/>
          <w:sz w:val="24"/>
          <w:szCs w:val="24"/>
          <w:lang w:val="en-US"/>
        </w:rPr>
        <w:t>Crateva</w:t>
      </w:r>
      <w:proofErr w:type="spellEnd"/>
      <w:r w:rsidR="00C4301C"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301C" w:rsidRPr="005F39A3">
        <w:rPr>
          <w:rFonts w:ascii="Times New Roman" w:hAnsi="Times New Roman" w:cs="Times New Roman"/>
          <w:sz w:val="24"/>
          <w:szCs w:val="24"/>
          <w:lang w:val="en-US"/>
        </w:rPr>
        <w:t>tapia</w:t>
      </w:r>
      <w:proofErr w:type="spellEnd"/>
      <w:r w:rsidR="00C4301C"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 L. </w:t>
      </w:r>
      <w:r w:rsidR="00C4301C" w:rsidRPr="005F39A3">
        <w:rPr>
          <w:rFonts w:ascii="Times New Roman" w:hAnsi="Times New Roman" w:cs="Times New Roman"/>
          <w:bCs/>
          <w:i/>
          <w:sz w:val="24"/>
          <w:szCs w:val="24"/>
          <w:lang w:val="en-US"/>
        </w:rPr>
        <w:t>African Journal of Microbiology Research</w:t>
      </w:r>
      <w:r w:rsidR="00C4301C" w:rsidRPr="005F39A3">
        <w:rPr>
          <w:rFonts w:ascii="Times New Roman" w:hAnsi="Times New Roman" w:cs="Times New Roman"/>
          <w:sz w:val="24"/>
          <w:szCs w:val="24"/>
          <w:lang w:val="en-US"/>
        </w:rPr>
        <w:t>, v. 9, n. 5, p. 326-331, 2015.</w:t>
      </w:r>
    </w:p>
    <w:p w14:paraId="6E8E282F" w14:textId="7F69251B" w:rsidR="000C0E7A" w:rsidRPr="005F39A3" w:rsidRDefault="000C0E7A" w:rsidP="005F39A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A3">
        <w:rPr>
          <w:rFonts w:ascii="Times New Roman" w:hAnsi="Times New Roman" w:cs="Times New Roman"/>
          <w:sz w:val="24"/>
          <w:szCs w:val="24"/>
        </w:rPr>
        <w:t xml:space="preserve">CASTRO, R. A.; FABRICANTE, J. R.; ARAUJO, K. C. T. Sociabilidade e potencial alelopático de espécies da caatinga sobre a invasora </w:t>
      </w:r>
      <w:proofErr w:type="spellStart"/>
      <w:r w:rsidRPr="005F39A3">
        <w:rPr>
          <w:rFonts w:ascii="Times New Roman" w:hAnsi="Times New Roman" w:cs="Times New Roman"/>
          <w:i/>
          <w:sz w:val="24"/>
          <w:szCs w:val="24"/>
        </w:rPr>
        <w:t>Nicotiana</w:t>
      </w:r>
      <w:proofErr w:type="spellEnd"/>
      <w:r w:rsidRPr="005F39A3">
        <w:rPr>
          <w:rFonts w:ascii="Times New Roman" w:hAnsi="Times New Roman" w:cs="Times New Roman"/>
          <w:i/>
          <w:sz w:val="24"/>
          <w:szCs w:val="24"/>
        </w:rPr>
        <w:t xml:space="preserve"> glauca </w:t>
      </w:r>
      <w:r w:rsidRPr="005F39A3">
        <w:rPr>
          <w:rFonts w:ascii="Times New Roman" w:hAnsi="Times New Roman" w:cs="Times New Roman"/>
          <w:sz w:val="24"/>
          <w:szCs w:val="24"/>
        </w:rPr>
        <w:t>Graham (</w:t>
      </w:r>
      <w:proofErr w:type="spellStart"/>
      <w:r w:rsidRPr="005F39A3">
        <w:rPr>
          <w:rFonts w:ascii="Times New Roman" w:hAnsi="Times New Roman" w:cs="Times New Roman"/>
          <w:sz w:val="24"/>
          <w:szCs w:val="24"/>
        </w:rPr>
        <w:t>Solanaceae</w:t>
      </w:r>
      <w:proofErr w:type="spellEnd"/>
      <w:r w:rsidRPr="005F39A3">
        <w:rPr>
          <w:rFonts w:ascii="Times New Roman" w:hAnsi="Times New Roman" w:cs="Times New Roman"/>
          <w:sz w:val="24"/>
          <w:szCs w:val="24"/>
        </w:rPr>
        <w:t xml:space="preserve">). </w:t>
      </w:r>
      <w:r w:rsidRPr="005F39A3">
        <w:rPr>
          <w:rFonts w:ascii="Times New Roman" w:hAnsi="Times New Roman" w:cs="Times New Roman"/>
          <w:i/>
          <w:sz w:val="24"/>
          <w:szCs w:val="24"/>
        </w:rPr>
        <w:t>Natureza online</w:t>
      </w:r>
      <w:r w:rsidRPr="005F39A3">
        <w:rPr>
          <w:rFonts w:ascii="Times New Roman" w:hAnsi="Times New Roman" w:cs="Times New Roman"/>
          <w:sz w:val="24"/>
          <w:szCs w:val="24"/>
        </w:rPr>
        <w:t>, v.15, n.1, p.59-69, 2017.</w:t>
      </w:r>
    </w:p>
    <w:p w14:paraId="6BD286EB" w14:textId="16705B98" w:rsidR="00C4301C" w:rsidRPr="005F39A3" w:rsidRDefault="00C4301C" w:rsidP="005F39A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HADE, Swati N. et al. Evaluation of </w:t>
      </w:r>
      <w:proofErr w:type="spellStart"/>
      <w:r w:rsidRPr="005F39A3">
        <w:rPr>
          <w:rFonts w:ascii="Times New Roman" w:hAnsi="Times New Roman" w:cs="Times New Roman"/>
          <w:sz w:val="24"/>
          <w:szCs w:val="24"/>
          <w:lang w:val="en-US"/>
        </w:rPr>
        <w:t>Crataeva</w:t>
      </w:r>
      <w:proofErr w:type="spellEnd"/>
      <w:r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39A3">
        <w:rPr>
          <w:rFonts w:ascii="Times New Roman" w:hAnsi="Times New Roman" w:cs="Times New Roman"/>
          <w:sz w:val="24"/>
          <w:szCs w:val="24"/>
          <w:lang w:val="en-US"/>
        </w:rPr>
        <w:t>nurvala</w:t>
      </w:r>
      <w:proofErr w:type="spellEnd"/>
      <w:r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 extracts as antioxidant, </w:t>
      </w:r>
      <w:proofErr w:type="spellStart"/>
      <w:r w:rsidRPr="005F39A3">
        <w:rPr>
          <w:rFonts w:ascii="Times New Roman" w:hAnsi="Times New Roman" w:cs="Times New Roman"/>
          <w:sz w:val="24"/>
          <w:szCs w:val="24"/>
          <w:lang w:val="en-US"/>
        </w:rPr>
        <w:t>antiproteolytic</w:t>
      </w:r>
      <w:proofErr w:type="spellEnd"/>
      <w:r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 and cytotoxic aga</w:t>
      </w:r>
      <w:r w:rsidR="000C0E7A"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inst hepato-carcinoma and mouse </w:t>
      </w:r>
      <w:r w:rsidRPr="005F39A3">
        <w:rPr>
          <w:rFonts w:ascii="Times New Roman" w:hAnsi="Times New Roman" w:cs="Times New Roman"/>
          <w:sz w:val="24"/>
          <w:szCs w:val="24"/>
          <w:lang w:val="en-US"/>
        </w:rPr>
        <w:t>melanoma cell lines. </w:t>
      </w:r>
      <w:r w:rsidRPr="005F39A3">
        <w:rPr>
          <w:rFonts w:ascii="Times New Roman" w:hAnsi="Times New Roman" w:cs="Times New Roman"/>
          <w:bCs/>
          <w:i/>
          <w:sz w:val="24"/>
          <w:szCs w:val="24"/>
          <w:lang w:val="en-US"/>
        </w:rPr>
        <w:t>Journal of Ap</w:t>
      </w:r>
      <w:r w:rsidR="000C0E7A" w:rsidRPr="005F39A3">
        <w:rPr>
          <w:rFonts w:ascii="Times New Roman" w:hAnsi="Times New Roman" w:cs="Times New Roman"/>
          <w:bCs/>
          <w:i/>
          <w:sz w:val="24"/>
          <w:szCs w:val="24"/>
          <w:lang w:val="en-US"/>
        </w:rPr>
        <w:t>plied Pharmaceutical Science</w:t>
      </w:r>
      <w:r w:rsidRPr="005F39A3">
        <w:rPr>
          <w:rFonts w:ascii="Times New Roman" w:hAnsi="Times New Roman" w:cs="Times New Roman"/>
          <w:sz w:val="24"/>
          <w:szCs w:val="24"/>
          <w:lang w:val="en-US"/>
        </w:rPr>
        <w:t>, v. 6, n. 09, p. 189-196, 2016.</w:t>
      </w:r>
    </w:p>
    <w:p w14:paraId="068B2C61" w14:textId="77777777" w:rsidR="000C0E7A" w:rsidRPr="005F39A3" w:rsidRDefault="000C0E7A" w:rsidP="005F39A3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F39A3">
        <w:rPr>
          <w:rFonts w:ascii="Times New Roman" w:hAnsi="Times New Roman" w:cs="Times New Roman"/>
          <w:sz w:val="24"/>
          <w:szCs w:val="24"/>
          <w:lang w:val="en-US"/>
        </w:rPr>
        <w:t>HAMINIUK, C. W. I.; MACIEL, G. M.; PLATA-OVIEDO, M. S. V. et al. Phenolic</w:t>
      </w:r>
    </w:p>
    <w:p w14:paraId="4EA79596" w14:textId="00DCED53" w:rsidR="000C0E7A" w:rsidRPr="005F39A3" w:rsidRDefault="000C0E7A" w:rsidP="005F39A3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compounds in fruits – an overview. </w:t>
      </w:r>
      <w:r w:rsidRPr="005F39A3">
        <w:rPr>
          <w:rFonts w:ascii="Times New Roman" w:hAnsi="Times New Roman" w:cs="Times New Roman"/>
          <w:bCs/>
          <w:i/>
          <w:sz w:val="24"/>
          <w:szCs w:val="24"/>
          <w:lang w:val="en-US"/>
        </w:rPr>
        <w:t>International Journal of Food Science &amp; Technology</w:t>
      </w:r>
      <w:r w:rsidRPr="005F39A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520F1"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39A3">
        <w:rPr>
          <w:rFonts w:ascii="Times New Roman" w:hAnsi="Times New Roman" w:cs="Times New Roman"/>
          <w:sz w:val="24"/>
          <w:szCs w:val="24"/>
          <w:lang w:val="en-US"/>
        </w:rPr>
        <w:t>v. 47, p. 2023-2044, 2012.</w:t>
      </w:r>
    </w:p>
    <w:p w14:paraId="55F5508B" w14:textId="77777777" w:rsidR="00C4301C" w:rsidRPr="005F39A3" w:rsidRDefault="00C4301C" w:rsidP="005F39A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A3">
        <w:rPr>
          <w:rFonts w:ascii="Times New Roman" w:hAnsi="Times New Roman" w:cs="Times New Roman"/>
          <w:sz w:val="24"/>
          <w:szCs w:val="24"/>
          <w:lang w:val="en-US"/>
        </w:rPr>
        <w:t>LIU, Jun et al. In vitro and in vivo antioxidant activity of ethanolic extract of white button mushroom (</w:t>
      </w:r>
      <w:proofErr w:type="spellStart"/>
      <w:r w:rsidRPr="005F39A3">
        <w:rPr>
          <w:rFonts w:ascii="Times New Roman" w:hAnsi="Times New Roman" w:cs="Times New Roman"/>
          <w:sz w:val="24"/>
          <w:szCs w:val="24"/>
          <w:lang w:val="en-US"/>
        </w:rPr>
        <w:t>Agaricus</w:t>
      </w:r>
      <w:proofErr w:type="spellEnd"/>
      <w:r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39A3">
        <w:rPr>
          <w:rFonts w:ascii="Times New Roman" w:hAnsi="Times New Roman" w:cs="Times New Roman"/>
          <w:sz w:val="24"/>
          <w:szCs w:val="24"/>
          <w:lang w:val="en-US"/>
        </w:rPr>
        <w:t>bisporus</w:t>
      </w:r>
      <w:proofErr w:type="spellEnd"/>
      <w:r w:rsidRPr="005F39A3">
        <w:rPr>
          <w:rFonts w:ascii="Times New Roman" w:hAnsi="Times New Roman" w:cs="Times New Roman"/>
          <w:sz w:val="24"/>
          <w:szCs w:val="24"/>
          <w:lang w:val="en-US"/>
        </w:rPr>
        <w:t>). </w:t>
      </w:r>
      <w:proofErr w:type="spellStart"/>
      <w:r w:rsidRPr="005F39A3">
        <w:rPr>
          <w:rFonts w:ascii="Times New Roman" w:hAnsi="Times New Roman" w:cs="Times New Roman"/>
          <w:bCs/>
          <w:i/>
          <w:sz w:val="24"/>
          <w:szCs w:val="24"/>
        </w:rPr>
        <w:t>Food</w:t>
      </w:r>
      <w:proofErr w:type="spellEnd"/>
      <w:r w:rsidRPr="005F39A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F39A3">
        <w:rPr>
          <w:rFonts w:ascii="Times New Roman" w:hAnsi="Times New Roman" w:cs="Times New Roman"/>
          <w:bCs/>
          <w:i/>
          <w:sz w:val="24"/>
          <w:szCs w:val="24"/>
        </w:rPr>
        <w:t>and</w:t>
      </w:r>
      <w:proofErr w:type="spellEnd"/>
      <w:r w:rsidRPr="005F39A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F39A3">
        <w:rPr>
          <w:rFonts w:ascii="Times New Roman" w:hAnsi="Times New Roman" w:cs="Times New Roman"/>
          <w:bCs/>
          <w:i/>
          <w:sz w:val="24"/>
          <w:szCs w:val="24"/>
        </w:rPr>
        <w:t>chemical</w:t>
      </w:r>
      <w:proofErr w:type="spellEnd"/>
      <w:r w:rsidRPr="005F39A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F39A3">
        <w:rPr>
          <w:rFonts w:ascii="Times New Roman" w:hAnsi="Times New Roman" w:cs="Times New Roman"/>
          <w:bCs/>
          <w:i/>
          <w:sz w:val="24"/>
          <w:szCs w:val="24"/>
        </w:rPr>
        <w:t>toxicology</w:t>
      </w:r>
      <w:proofErr w:type="spellEnd"/>
      <w:r w:rsidRPr="005F39A3">
        <w:rPr>
          <w:rFonts w:ascii="Times New Roman" w:hAnsi="Times New Roman" w:cs="Times New Roman"/>
          <w:sz w:val="24"/>
          <w:szCs w:val="24"/>
        </w:rPr>
        <w:t>, v. 51, p. 310-316, 2013.</w:t>
      </w:r>
    </w:p>
    <w:p w14:paraId="3EFE249D" w14:textId="335199A5" w:rsidR="00C4301C" w:rsidRPr="005F39A3" w:rsidRDefault="00C4301C" w:rsidP="005F39A3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F39A3">
        <w:rPr>
          <w:rFonts w:ascii="Times New Roman" w:hAnsi="Times New Roman" w:cs="Times New Roman"/>
          <w:bCs/>
          <w:sz w:val="24"/>
          <w:szCs w:val="24"/>
        </w:rPr>
        <w:t>LORENZI, H</w:t>
      </w:r>
      <w:r w:rsidRPr="005F39A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F39A3">
        <w:rPr>
          <w:rFonts w:ascii="Times New Roman" w:hAnsi="Times New Roman" w:cs="Times New Roman"/>
          <w:bCs/>
          <w:i/>
          <w:sz w:val="24"/>
          <w:szCs w:val="24"/>
        </w:rPr>
        <w:t>Árvores Brasileiras: manual de identificação e cultivo de plantas arbóreas do Brasil</w:t>
      </w:r>
      <w:r w:rsidRPr="005F39A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F39A3">
        <w:rPr>
          <w:rFonts w:ascii="Times New Roman" w:hAnsi="Times New Roman" w:cs="Times New Roman"/>
          <w:bCs/>
          <w:sz w:val="24"/>
          <w:szCs w:val="24"/>
        </w:rPr>
        <w:t>Nova Odessa: Instituto Plantarum, 2002.</w:t>
      </w:r>
    </w:p>
    <w:p w14:paraId="1C04B8A4" w14:textId="757F64F9" w:rsidR="00C4301C" w:rsidRPr="005F39A3" w:rsidRDefault="00C4301C" w:rsidP="005F39A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F39A3">
        <w:rPr>
          <w:rFonts w:ascii="Times New Roman" w:hAnsi="Times New Roman" w:cs="Times New Roman"/>
          <w:sz w:val="24"/>
          <w:szCs w:val="24"/>
          <w:lang w:val="en-US"/>
        </w:rPr>
        <w:t>MANSOUR, R. B. et al. “Phenolic Contents and Antioxidant Activity of Ethanolic Extract of </w:t>
      </w:r>
      <w:r w:rsidRPr="005F39A3">
        <w:rPr>
          <w:rFonts w:ascii="Times New Roman" w:hAnsi="Times New Roman" w:cs="Times New Roman"/>
          <w:i/>
          <w:iCs/>
          <w:sz w:val="24"/>
          <w:szCs w:val="24"/>
          <w:lang w:val="en-US"/>
        </w:rPr>
        <w:t>Capparis Spinosa</w:t>
      </w:r>
      <w:r w:rsidRPr="005F39A3">
        <w:rPr>
          <w:rFonts w:ascii="Times New Roman" w:hAnsi="Times New Roman" w:cs="Times New Roman"/>
          <w:sz w:val="24"/>
          <w:szCs w:val="24"/>
          <w:lang w:val="en-US"/>
        </w:rPr>
        <w:t>.” </w:t>
      </w:r>
      <w:r w:rsidRPr="005F39A3">
        <w:rPr>
          <w:rFonts w:ascii="Times New Roman" w:hAnsi="Times New Roman" w:cs="Times New Roman"/>
          <w:i/>
          <w:iCs/>
          <w:sz w:val="24"/>
          <w:szCs w:val="24"/>
          <w:lang w:val="en-US"/>
        </w:rPr>
        <w:t>Cytotechnology</w:t>
      </w:r>
      <w:r w:rsidR="00566EB7" w:rsidRPr="005F39A3">
        <w:rPr>
          <w:rFonts w:ascii="Times New Roman" w:hAnsi="Times New Roman" w:cs="Times New Roman"/>
          <w:b/>
          <w:sz w:val="24"/>
          <w:szCs w:val="24"/>
          <w:lang w:val="en-US"/>
        </w:rPr>
        <w:t>, v.</w:t>
      </w:r>
      <w:r w:rsidRPr="005F39A3">
        <w:rPr>
          <w:rFonts w:ascii="Times New Roman" w:hAnsi="Times New Roman" w:cs="Times New Roman"/>
          <w:sz w:val="24"/>
          <w:szCs w:val="24"/>
          <w:lang w:val="en-US"/>
        </w:rPr>
        <w:t>68</w:t>
      </w:r>
      <w:r w:rsidR="00566EB7" w:rsidRPr="005F39A3">
        <w:rPr>
          <w:rFonts w:ascii="Times New Roman" w:hAnsi="Times New Roman" w:cs="Times New Roman"/>
          <w:sz w:val="24"/>
          <w:szCs w:val="24"/>
          <w:lang w:val="en-US"/>
        </w:rPr>
        <w:t>, v.</w:t>
      </w:r>
      <w:r w:rsidRPr="005F39A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66EB7" w:rsidRPr="005F39A3">
        <w:rPr>
          <w:rFonts w:ascii="Times New Roman" w:hAnsi="Times New Roman" w:cs="Times New Roman"/>
          <w:sz w:val="24"/>
          <w:szCs w:val="24"/>
          <w:lang w:val="en-US"/>
        </w:rPr>
        <w:t>, p.</w:t>
      </w:r>
      <w:r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 135–142</w:t>
      </w:r>
      <w:r w:rsidR="00566EB7" w:rsidRPr="005F39A3">
        <w:rPr>
          <w:rFonts w:ascii="Times New Roman" w:hAnsi="Times New Roman" w:cs="Times New Roman"/>
          <w:sz w:val="24"/>
          <w:szCs w:val="24"/>
          <w:lang w:val="en-US"/>
        </w:rPr>
        <w:t>, 2016</w:t>
      </w:r>
      <w:r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6AFAB3A" w14:textId="77777777" w:rsidR="00C4301C" w:rsidRPr="005F39A3" w:rsidRDefault="00C4301C" w:rsidP="005F39A3">
      <w:pPr>
        <w:widowControl w:val="0"/>
        <w:suppressAutoHyphens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39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MATOS, J. M. D; MATOS, M. E. O. </w:t>
      </w:r>
      <w:r w:rsidRPr="005F39A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Farmacognosia: curso teórico – prático</w:t>
      </w:r>
      <w:r w:rsidRPr="005F39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Fortaleza: Edições UFC, 1989. </w:t>
      </w:r>
    </w:p>
    <w:p w14:paraId="6C2A12D1" w14:textId="5DE26D18" w:rsidR="00C4301C" w:rsidRPr="005F39A3" w:rsidRDefault="00C4301C" w:rsidP="005F39A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NAZARNI, R. et al. The effect of fermentation on total phenolic, flavonoid and tannin content and its relation to antibacterial activity in </w:t>
      </w:r>
      <w:proofErr w:type="spellStart"/>
      <w:r w:rsidRPr="005F39A3">
        <w:rPr>
          <w:rFonts w:ascii="Times New Roman" w:hAnsi="Times New Roman" w:cs="Times New Roman"/>
          <w:sz w:val="24"/>
          <w:szCs w:val="24"/>
          <w:lang w:val="en-US"/>
        </w:rPr>
        <w:t>jaruk</w:t>
      </w:r>
      <w:proofErr w:type="spellEnd"/>
      <w:r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39A3">
        <w:rPr>
          <w:rFonts w:ascii="Times New Roman" w:hAnsi="Times New Roman" w:cs="Times New Roman"/>
          <w:sz w:val="24"/>
          <w:szCs w:val="24"/>
          <w:lang w:val="en-US"/>
        </w:rPr>
        <w:t>tigarun</w:t>
      </w:r>
      <w:proofErr w:type="spellEnd"/>
      <w:r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F39A3">
        <w:rPr>
          <w:rFonts w:ascii="Times New Roman" w:hAnsi="Times New Roman" w:cs="Times New Roman"/>
          <w:sz w:val="24"/>
          <w:szCs w:val="24"/>
          <w:lang w:val="en-US"/>
        </w:rPr>
        <w:t>Crataeva</w:t>
      </w:r>
      <w:proofErr w:type="spellEnd"/>
      <w:r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39A3">
        <w:rPr>
          <w:rFonts w:ascii="Times New Roman" w:hAnsi="Times New Roman" w:cs="Times New Roman"/>
          <w:sz w:val="24"/>
          <w:szCs w:val="24"/>
          <w:lang w:val="en-US"/>
        </w:rPr>
        <w:t>nurvala</w:t>
      </w:r>
      <w:proofErr w:type="spellEnd"/>
      <w:r w:rsidRPr="005F39A3">
        <w:rPr>
          <w:rFonts w:ascii="Times New Roman" w:hAnsi="Times New Roman" w:cs="Times New Roman"/>
          <w:sz w:val="24"/>
          <w:szCs w:val="24"/>
          <w:lang w:val="en-US"/>
        </w:rPr>
        <w:t>, Buch HAM). </w:t>
      </w:r>
      <w:r w:rsidRPr="005F39A3">
        <w:rPr>
          <w:rFonts w:ascii="Times New Roman" w:hAnsi="Times New Roman" w:cs="Times New Roman"/>
          <w:bCs/>
          <w:i/>
          <w:sz w:val="24"/>
          <w:szCs w:val="24"/>
          <w:lang w:val="en-US"/>
        </w:rPr>
        <w:t>International Food Research Journal</w:t>
      </w:r>
      <w:r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, v. 23, n. 1, </w:t>
      </w:r>
      <w:r w:rsidR="00566EB7"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p.309-315, </w:t>
      </w:r>
      <w:r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2016. </w:t>
      </w:r>
    </w:p>
    <w:p w14:paraId="61D74EEC" w14:textId="528CA94F" w:rsidR="00C4301C" w:rsidRPr="005F39A3" w:rsidRDefault="00566EB7" w:rsidP="005F39A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A3">
        <w:rPr>
          <w:rFonts w:ascii="Times New Roman" w:hAnsi="Times New Roman" w:cs="Times New Roman"/>
          <w:sz w:val="24"/>
          <w:szCs w:val="24"/>
        </w:rPr>
        <w:t>OMENA, C. M. B.</w:t>
      </w:r>
      <w:r w:rsidR="00C4301C" w:rsidRPr="005F39A3">
        <w:rPr>
          <w:rFonts w:ascii="Times New Roman" w:hAnsi="Times New Roman" w:cs="Times New Roman"/>
          <w:sz w:val="24"/>
          <w:szCs w:val="24"/>
        </w:rPr>
        <w:t xml:space="preserve"> et al. </w:t>
      </w:r>
      <w:r w:rsidR="00C4301C" w:rsidRPr="005F39A3">
        <w:rPr>
          <w:rFonts w:ascii="Times New Roman" w:hAnsi="Times New Roman" w:cs="Times New Roman"/>
          <w:sz w:val="24"/>
          <w:szCs w:val="24"/>
          <w:lang w:val="en-US"/>
        </w:rPr>
        <w:t>Antioxidant, anti-acetylcholinesterase and cytotoxic activities of ethanol extracts of peel, pulp and seeds of exotic Brazilian fruits: antioxidant, anti-</w:t>
      </w:r>
      <w:r w:rsidR="00C4301C" w:rsidRPr="005F39A3">
        <w:rPr>
          <w:rFonts w:ascii="Times New Roman" w:hAnsi="Times New Roman" w:cs="Times New Roman"/>
          <w:sz w:val="24"/>
          <w:szCs w:val="24"/>
          <w:lang w:val="en-US"/>
        </w:rPr>
        <w:lastRenderedPageBreak/>
        <w:t>acetylcholinesterase and cytotoxic activities in fruits. </w:t>
      </w:r>
      <w:proofErr w:type="spellStart"/>
      <w:r w:rsidR="00C4301C" w:rsidRPr="005F39A3">
        <w:rPr>
          <w:rFonts w:ascii="Times New Roman" w:hAnsi="Times New Roman" w:cs="Times New Roman"/>
          <w:bCs/>
          <w:i/>
          <w:sz w:val="24"/>
          <w:szCs w:val="24"/>
        </w:rPr>
        <w:t>Food</w:t>
      </w:r>
      <w:proofErr w:type="spellEnd"/>
      <w:r w:rsidR="00C4301C" w:rsidRPr="005F39A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4301C" w:rsidRPr="005F39A3">
        <w:rPr>
          <w:rFonts w:ascii="Times New Roman" w:hAnsi="Times New Roman" w:cs="Times New Roman"/>
          <w:bCs/>
          <w:i/>
          <w:sz w:val="24"/>
          <w:szCs w:val="24"/>
        </w:rPr>
        <w:t>Research</w:t>
      </w:r>
      <w:proofErr w:type="spellEnd"/>
      <w:r w:rsidR="00C4301C" w:rsidRPr="005F39A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4301C" w:rsidRPr="005F39A3">
        <w:rPr>
          <w:rFonts w:ascii="Times New Roman" w:hAnsi="Times New Roman" w:cs="Times New Roman"/>
          <w:bCs/>
          <w:i/>
          <w:sz w:val="24"/>
          <w:szCs w:val="24"/>
        </w:rPr>
        <w:t>International</w:t>
      </w:r>
      <w:proofErr w:type="spellEnd"/>
      <w:r w:rsidR="00C4301C" w:rsidRPr="005F39A3">
        <w:rPr>
          <w:rFonts w:ascii="Times New Roman" w:hAnsi="Times New Roman" w:cs="Times New Roman"/>
          <w:sz w:val="24"/>
          <w:szCs w:val="24"/>
        </w:rPr>
        <w:t>, v. 49, n. 1, p. 334-344, 2012.</w:t>
      </w:r>
    </w:p>
    <w:p w14:paraId="15D1B09E" w14:textId="0C52B2C2" w:rsidR="00C4301C" w:rsidRPr="005F39A3" w:rsidRDefault="00A9758E" w:rsidP="005F39A3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F39A3">
        <w:rPr>
          <w:rFonts w:ascii="Times New Roman" w:hAnsi="Times New Roman" w:cs="Times New Roman"/>
          <w:sz w:val="24"/>
          <w:szCs w:val="24"/>
          <w:lang w:val="en-US"/>
        </w:rPr>
        <w:t>PATIL, U.</w:t>
      </w:r>
      <w:r w:rsidR="00C4301C"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5F39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4301C"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; GAIKWAD, D. K. Differential bactericidal potential and phytochemical evaluation of </w:t>
      </w:r>
      <w:proofErr w:type="spellStart"/>
      <w:r w:rsidR="00C4301C" w:rsidRPr="005F39A3">
        <w:rPr>
          <w:rFonts w:ascii="Times New Roman" w:hAnsi="Times New Roman" w:cs="Times New Roman"/>
          <w:sz w:val="24"/>
          <w:szCs w:val="24"/>
          <w:lang w:val="en-US"/>
        </w:rPr>
        <w:t>Crataeva</w:t>
      </w:r>
      <w:proofErr w:type="spellEnd"/>
      <w:r w:rsidR="00C4301C"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301C" w:rsidRPr="005F39A3">
        <w:rPr>
          <w:rFonts w:ascii="Times New Roman" w:hAnsi="Times New Roman" w:cs="Times New Roman"/>
          <w:sz w:val="24"/>
          <w:szCs w:val="24"/>
          <w:lang w:val="en-US"/>
        </w:rPr>
        <w:t>religiosa</w:t>
      </w:r>
      <w:proofErr w:type="spellEnd"/>
      <w:r w:rsidR="00C4301C"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 stem bark. </w:t>
      </w:r>
      <w:r w:rsidR="00C4301C" w:rsidRPr="005F39A3">
        <w:rPr>
          <w:rFonts w:ascii="Times New Roman" w:hAnsi="Times New Roman" w:cs="Times New Roman"/>
          <w:bCs/>
          <w:i/>
          <w:sz w:val="24"/>
          <w:szCs w:val="24"/>
          <w:lang w:val="en-US"/>
        </w:rPr>
        <w:t>International Journal of Pharmaceutical Research and Development</w:t>
      </w:r>
      <w:r w:rsidR="00C4301C" w:rsidRPr="005F39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="00C4301C" w:rsidRPr="005F39A3">
        <w:rPr>
          <w:rFonts w:ascii="Times New Roman" w:hAnsi="Times New Roman" w:cs="Times New Roman"/>
          <w:bCs/>
          <w:sz w:val="24"/>
          <w:szCs w:val="24"/>
          <w:lang w:val="en-US"/>
        </w:rPr>
        <w:t>v.2, n. 11, p. 82-88, 2012.</w:t>
      </w:r>
    </w:p>
    <w:p w14:paraId="2B9EE646" w14:textId="7D45675D" w:rsidR="00C4301C" w:rsidRPr="005F39A3" w:rsidRDefault="00C4301C" w:rsidP="005F39A3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F39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SHARMA, P.; PATIL, D.; PATIL, A. </w:t>
      </w:r>
      <w:proofErr w:type="spellStart"/>
      <w:r w:rsidR="00566EB7" w:rsidRPr="005F39A3">
        <w:rPr>
          <w:rFonts w:ascii="Times New Roman" w:hAnsi="Times New Roman" w:cs="Times New Roman"/>
          <w:bCs/>
          <w:i/>
          <w:sz w:val="24"/>
          <w:szCs w:val="24"/>
          <w:lang w:val="en-US"/>
        </w:rPr>
        <w:t>Crataeva</w:t>
      </w:r>
      <w:proofErr w:type="spellEnd"/>
      <w:r w:rsidR="00566EB7" w:rsidRPr="005F39A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566EB7" w:rsidRPr="005F39A3">
        <w:rPr>
          <w:rFonts w:ascii="Times New Roman" w:hAnsi="Times New Roman" w:cs="Times New Roman"/>
          <w:bCs/>
          <w:i/>
          <w:sz w:val="24"/>
          <w:szCs w:val="24"/>
          <w:lang w:val="en-US"/>
        </w:rPr>
        <w:t>tapia</w:t>
      </w:r>
      <w:proofErr w:type="spellEnd"/>
      <w:r w:rsidR="00566EB7" w:rsidRPr="005F39A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566EB7" w:rsidRPr="005F39A3">
        <w:rPr>
          <w:rFonts w:ascii="Times New Roman" w:hAnsi="Times New Roman" w:cs="Times New Roman"/>
          <w:bCs/>
          <w:i/>
          <w:sz w:val="24"/>
          <w:szCs w:val="24"/>
          <w:lang w:val="en-US"/>
        </w:rPr>
        <w:t>linn</w:t>
      </w:r>
      <w:proofErr w:type="spellEnd"/>
      <w:r w:rsidR="00566EB7" w:rsidRPr="005F39A3">
        <w:rPr>
          <w:rFonts w:ascii="Times New Roman" w:hAnsi="Times New Roman" w:cs="Times New Roman"/>
          <w:bCs/>
          <w:i/>
          <w:sz w:val="24"/>
          <w:szCs w:val="24"/>
          <w:lang w:val="en-US"/>
        </w:rPr>
        <w:t>. - an important medicinal plant: a review of its traditional uses, phytochemistry and pharmacological properties</w:t>
      </w:r>
      <w:r w:rsidRPr="005F39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5F39A3">
        <w:rPr>
          <w:rFonts w:ascii="Times New Roman" w:hAnsi="Times New Roman" w:cs="Times New Roman"/>
          <w:bCs/>
          <w:i/>
          <w:sz w:val="24"/>
          <w:szCs w:val="24"/>
          <w:lang w:val="en-US"/>
        </w:rPr>
        <w:t>International Journal of Pharmaceutical Sciences and Research</w:t>
      </w:r>
      <w:r w:rsidR="00566EB7" w:rsidRPr="005F39A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. </w:t>
      </w:r>
      <w:r w:rsidR="00566EB7" w:rsidRPr="005F39A3">
        <w:rPr>
          <w:rFonts w:ascii="Times New Roman" w:hAnsi="Times New Roman" w:cs="Times New Roman"/>
          <w:bCs/>
          <w:sz w:val="24"/>
          <w:szCs w:val="24"/>
          <w:lang w:val="en-US"/>
        </w:rPr>
        <w:t>v. 4, p. 582 -</w:t>
      </w:r>
      <w:r w:rsidRPr="005F39A3">
        <w:rPr>
          <w:rFonts w:ascii="Times New Roman" w:hAnsi="Times New Roman" w:cs="Times New Roman"/>
          <w:bCs/>
          <w:sz w:val="24"/>
          <w:szCs w:val="24"/>
          <w:lang w:val="en-US"/>
        </w:rPr>
        <w:t>589, 2013.</w:t>
      </w:r>
    </w:p>
    <w:p w14:paraId="65F986E7" w14:textId="61DD6B1C" w:rsidR="00C4301C" w:rsidRPr="005F39A3" w:rsidRDefault="00566EB7" w:rsidP="005F39A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SIKARWAR, M. S., </w:t>
      </w:r>
      <w:r w:rsidR="00C4301C"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PATIL, M. B. Antidiabetic activity of </w:t>
      </w:r>
      <w:proofErr w:type="spellStart"/>
      <w:r w:rsidR="00C4301C" w:rsidRPr="005F39A3">
        <w:rPr>
          <w:rFonts w:ascii="Times New Roman" w:hAnsi="Times New Roman" w:cs="Times New Roman"/>
          <w:sz w:val="24"/>
          <w:szCs w:val="24"/>
          <w:lang w:val="en-US"/>
        </w:rPr>
        <w:t>Crateva</w:t>
      </w:r>
      <w:proofErr w:type="spellEnd"/>
      <w:r w:rsidR="00C4301C"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301C" w:rsidRPr="005F39A3">
        <w:rPr>
          <w:rFonts w:ascii="Times New Roman" w:hAnsi="Times New Roman" w:cs="Times New Roman"/>
          <w:sz w:val="24"/>
          <w:szCs w:val="24"/>
          <w:lang w:val="en-US"/>
        </w:rPr>
        <w:t>nurvala</w:t>
      </w:r>
      <w:proofErr w:type="spellEnd"/>
      <w:r w:rsidR="00C4301C"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 stem bark extracts in alloxan-induced diabetic rats. </w:t>
      </w:r>
      <w:proofErr w:type="spellStart"/>
      <w:r w:rsidR="00C4301C" w:rsidRPr="005F39A3">
        <w:rPr>
          <w:rFonts w:ascii="Times New Roman" w:hAnsi="Times New Roman" w:cs="Times New Roman"/>
          <w:bCs/>
          <w:i/>
          <w:sz w:val="24"/>
          <w:szCs w:val="24"/>
        </w:rPr>
        <w:t>Journal</w:t>
      </w:r>
      <w:proofErr w:type="spellEnd"/>
      <w:r w:rsidR="00C4301C" w:rsidRPr="005F39A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4301C" w:rsidRPr="005F39A3">
        <w:rPr>
          <w:rFonts w:ascii="Times New Roman" w:hAnsi="Times New Roman" w:cs="Times New Roman"/>
          <w:bCs/>
          <w:i/>
          <w:sz w:val="24"/>
          <w:szCs w:val="24"/>
        </w:rPr>
        <w:t>of</w:t>
      </w:r>
      <w:proofErr w:type="spellEnd"/>
      <w:r w:rsidR="00C4301C" w:rsidRPr="005F39A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4301C" w:rsidRPr="005F39A3">
        <w:rPr>
          <w:rFonts w:ascii="Times New Roman" w:hAnsi="Times New Roman" w:cs="Times New Roman"/>
          <w:bCs/>
          <w:i/>
          <w:sz w:val="24"/>
          <w:szCs w:val="24"/>
        </w:rPr>
        <w:t>pharmacy</w:t>
      </w:r>
      <w:proofErr w:type="spellEnd"/>
      <w:r w:rsidR="00C4301C" w:rsidRPr="005F39A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4301C" w:rsidRPr="005F39A3">
        <w:rPr>
          <w:rFonts w:ascii="Times New Roman" w:hAnsi="Times New Roman" w:cs="Times New Roman"/>
          <w:bCs/>
          <w:i/>
          <w:sz w:val="24"/>
          <w:szCs w:val="24"/>
        </w:rPr>
        <w:t>and</w:t>
      </w:r>
      <w:proofErr w:type="spellEnd"/>
      <w:r w:rsidR="00C4301C" w:rsidRPr="005F39A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4301C" w:rsidRPr="005F39A3">
        <w:rPr>
          <w:rFonts w:ascii="Times New Roman" w:hAnsi="Times New Roman" w:cs="Times New Roman"/>
          <w:bCs/>
          <w:i/>
          <w:sz w:val="24"/>
          <w:szCs w:val="24"/>
        </w:rPr>
        <w:t>bioallied</w:t>
      </w:r>
      <w:proofErr w:type="spellEnd"/>
      <w:r w:rsidR="00C4301C" w:rsidRPr="005F39A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4301C" w:rsidRPr="005F39A3">
        <w:rPr>
          <w:rFonts w:ascii="Times New Roman" w:hAnsi="Times New Roman" w:cs="Times New Roman"/>
          <w:bCs/>
          <w:i/>
          <w:sz w:val="24"/>
          <w:szCs w:val="24"/>
        </w:rPr>
        <w:t>sciences</w:t>
      </w:r>
      <w:proofErr w:type="spellEnd"/>
      <w:r w:rsidR="00C4301C" w:rsidRPr="005F39A3">
        <w:rPr>
          <w:rFonts w:ascii="Times New Roman" w:hAnsi="Times New Roman" w:cs="Times New Roman"/>
          <w:sz w:val="24"/>
          <w:szCs w:val="24"/>
        </w:rPr>
        <w:t>, v. 2, n. 1, p. 18</w:t>
      </w:r>
      <w:r w:rsidRPr="005F39A3">
        <w:rPr>
          <w:rFonts w:ascii="Times New Roman" w:hAnsi="Times New Roman" w:cs="Times New Roman"/>
          <w:sz w:val="24"/>
          <w:szCs w:val="24"/>
        </w:rPr>
        <w:t>-21</w:t>
      </w:r>
      <w:r w:rsidR="00C4301C" w:rsidRPr="005F39A3">
        <w:rPr>
          <w:rFonts w:ascii="Times New Roman" w:hAnsi="Times New Roman" w:cs="Times New Roman"/>
          <w:sz w:val="24"/>
          <w:szCs w:val="24"/>
        </w:rPr>
        <w:t>, 2010.</w:t>
      </w:r>
    </w:p>
    <w:p w14:paraId="30B9308C" w14:textId="62EB070B" w:rsidR="00C4301C" w:rsidRPr="005F39A3" w:rsidRDefault="00566EB7" w:rsidP="005F39A3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F39A3">
        <w:rPr>
          <w:rFonts w:ascii="Times New Roman" w:hAnsi="Times New Roman" w:cs="Times New Roman"/>
          <w:bCs/>
          <w:sz w:val="24"/>
          <w:szCs w:val="24"/>
        </w:rPr>
        <w:t xml:space="preserve">SIMÕES, C. M. O. et </w:t>
      </w:r>
      <w:proofErr w:type="gramStart"/>
      <w:r w:rsidRPr="005F39A3">
        <w:rPr>
          <w:rFonts w:ascii="Times New Roman" w:hAnsi="Times New Roman" w:cs="Times New Roman"/>
          <w:bCs/>
          <w:sz w:val="24"/>
          <w:szCs w:val="24"/>
        </w:rPr>
        <w:t>al.</w:t>
      </w:r>
      <w:r w:rsidR="00C4301C" w:rsidRPr="005F39A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4301C" w:rsidRPr="005F39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301C" w:rsidRPr="005F39A3">
        <w:rPr>
          <w:rFonts w:ascii="Times New Roman" w:hAnsi="Times New Roman" w:cs="Times New Roman"/>
          <w:bCs/>
          <w:i/>
          <w:sz w:val="24"/>
          <w:szCs w:val="24"/>
        </w:rPr>
        <w:t>Farmacognosia: da planta ao medicamento</w:t>
      </w:r>
      <w:r w:rsidR="00C4301C" w:rsidRPr="005F39A3">
        <w:rPr>
          <w:rFonts w:ascii="Times New Roman" w:hAnsi="Times New Roman" w:cs="Times New Roman"/>
          <w:bCs/>
          <w:sz w:val="24"/>
          <w:szCs w:val="24"/>
        </w:rPr>
        <w:t>. Porto Alegre: UFRGS; 2010.</w:t>
      </w:r>
    </w:p>
    <w:p w14:paraId="508122BC" w14:textId="00E50F72" w:rsidR="000C0E7A" w:rsidRPr="005F39A3" w:rsidRDefault="000C0E7A" w:rsidP="005F39A3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F39A3">
        <w:rPr>
          <w:rFonts w:ascii="Times New Roman" w:hAnsi="Times New Roman" w:cs="Times New Roman"/>
          <w:bCs/>
          <w:sz w:val="24"/>
          <w:szCs w:val="24"/>
        </w:rPr>
        <w:t xml:space="preserve">SILVA, F. M.; AQUILA, M. E. A. Potencial alelopático de espécies nativas na germinação e crescimento inicial de </w:t>
      </w:r>
      <w:proofErr w:type="spellStart"/>
      <w:r w:rsidRPr="005F39A3">
        <w:rPr>
          <w:rFonts w:ascii="Times New Roman" w:hAnsi="Times New Roman" w:cs="Times New Roman"/>
          <w:bCs/>
          <w:i/>
          <w:sz w:val="24"/>
          <w:szCs w:val="24"/>
        </w:rPr>
        <w:t>Lactuca</w:t>
      </w:r>
      <w:proofErr w:type="spellEnd"/>
      <w:r w:rsidRPr="005F39A3">
        <w:rPr>
          <w:rFonts w:ascii="Times New Roman" w:hAnsi="Times New Roman" w:cs="Times New Roman"/>
          <w:bCs/>
          <w:i/>
          <w:sz w:val="24"/>
          <w:szCs w:val="24"/>
        </w:rPr>
        <w:t xml:space="preserve"> sativa</w:t>
      </w:r>
      <w:r w:rsidRPr="005F39A3">
        <w:rPr>
          <w:rFonts w:ascii="Times New Roman" w:hAnsi="Times New Roman" w:cs="Times New Roman"/>
          <w:bCs/>
          <w:sz w:val="24"/>
          <w:szCs w:val="24"/>
        </w:rPr>
        <w:t xml:space="preserve"> L. (Asteraceae). Acta Botânica Brasílica, v.20, n.1, p. 61-69, 2006.</w:t>
      </w:r>
    </w:p>
    <w:p w14:paraId="6F95E703" w14:textId="64CC5CF1" w:rsidR="00566EB7" w:rsidRPr="005F39A3" w:rsidRDefault="001520F1" w:rsidP="005F39A3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A3">
        <w:rPr>
          <w:rFonts w:ascii="Times New Roman" w:hAnsi="Times New Roman" w:cs="Times New Roman"/>
          <w:sz w:val="24"/>
          <w:szCs w:val="24"/>
        </w:rPr>
        <w:t xml:space="preserve">SILVA, M. J. D.; ENDO, L. H.; DIAS, A. L. T. et al. Avaliação da atividade antioxidante e antimicrobiana dos extratos e frações orgânicas de Mimosa </w:t>
      </w:r>
      <w:proofErr w:type="spellStart"/>
      <w:r w:rsidRPr="005F39A3">
        <w:rPr>
          <w:rFonts w:ascii="Times New Roman" w:hAnsi="Times New Roman" w:cs="Times New Roman"/>
          <w:sz w:val="24"/>
          <w:szCs w:val="24"/>
        </w:rPr>
        <w:t>caesalpiniiifolia</w:t>
      </w:r>
      <w:proofErr w:type="spellEnd"/>
      <w:r w:rsidRPr="005F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9A3">
        <w:rPr>
          <w:rFonts w:ascii="Times New Roman" w:hAnsi="Times New Roman" w:cs="Times New Roman"/>
          <w:sz w:val="24"/>
          <w:szCs w:val="24"/>
        </w:rPr>
        <w:t>Benth</w:t>
      </w:r>
      <w:proofErr w:type="spellEnd"/>
      <w:r w:rsidRPr="005F39A3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5F39A3">
        <w:rPr>
          <w:rFonts w:ascii="Times New Roman" w:hAnsi="Times New Roman" w:cs="Times New Roman"/>
          <w:sz w:val="24"/>
          <w:szCs w:val="24"/>
        </w:rPr>
        <w:t>Mimosacae</w:t>
      </w:r>
      <w:proofErr w:type="spellEnd"/>
      <w:r w:rsidRPr="005F39A3">
        <w:rPr>
          <w:rFonts w:ascii="Times New Roman" w:hAnsi="Times New Roman" w:cs="Times New Roman"/>
          <w:sz w:val="24"/>
          <w:szCs w:val="24"/>
        </w:rPr>
        <w:t xml:space="preserve">). </w:t>
      </w:r>
      <w:r w:rsidRPr="005F39A3">
        <w:rPr>
          <w:rFonts w:ascii="Times New Roman" w:hAnsi="Times New Roman" w:cs="Times New Roman"/>
          <w:bCs/>
          <w:i/>
          <w:sz w:val="24"/>
          <w:szCs w:val="24"/>
        </w:rPr>
        <w:t>Revista de Ciências Farmacêuticas Básica e Aplicada</w:t>
      </w:r>
      <w:r w:rsidRPr="005F39A3">
        <w:rPr>
          <w:rFonts w:ascii="Times New Roman" w:hAnsi="Times New Roman" w:cs="Times New Roman"/>
          <w:sz w:val="24"/>
          <w:szCs w:val="24"/>
        </w:rPr>
        <w:t>, v. 33, n. 2, p. 267- 274, 2012.</w:t>
      </w:r>
    </w:p>
    <w:p w14:paraId="3A1A423A" w14:textId="193397BC" w:rsidR="00566EB7" w:rsidRPr="005F39A3" w:rsidRDefault="00C4301C" w:rsidP="005F39A3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F39A3">
        <w:rPr>
          <w:rFonts w:ascii="Times New Roman" w:hAnsi="Times New Roman" w:cs="Times New Roman"/>
          <w:bCs/>
          <w:sz w:val="24"/>
          <w:szCs w:val="24"/>
        </w:rPr>
        <w:t>SOUSA, C. M. M.</w:t>
      </w:r>
      <w:r w:rsidR="005F39A3" w:rsidRPr="005F39A3">
        <w:rPr>
          <w:rFonts w:ascii="Times New Roman" w:hAnsi="Times New Roman" w:cs="Times New Roman"/>
          <w:bCs/>
          <w:sz w:val="24"/>
          <w:szCs w:val="24"/>
        </w:rPr>
        <w:t xml:space="preserve"> et al.</w:t>
      </w:r>
      <w:r w:rsidRPr="005F39A3">
        <w:rPr>
          <w:rFonts w:ascii="Times New Roman" w:hAnsi="Times New Roman" w:cs="Times New Roman"/>
          <w:bCs/>
          <w:sz w:val="24"/>
          <w:szCs w:val="24"/>
        </w:rPr>
        <w:t xml:space="preserve"> Fenóis totais e atividade antioxidante de cinco plantas medicinais. </w:t>
      </w:r>
      <w:r w:rsidR="005F39A3" w:rsidRPr="005F39A3">
        <w:rPr>
          <w:rFonts w:ascii="Times New Roman" w:hAnsi="Times New Roman" w:cs="Times New Roman"/>
          <w:b/>
          <w:bCs/>
          <w:i/>
          <w:sz w:val="24"/>
          <w:szCs w:val="24"/>
        </w:rPr>
        <w:t>Química</w:t>
      </w:r>
      <w:r w:rsidRPr="005F39A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Nova</w:t>
      </w:r>
      <w:r w:rsidRPr="005F39A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F39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39A3" w:rsidRPr="005F39A3">
        <w:rPr>
          <w:rFonts w:ascii="Times New Roman" w:hAnsi="Times New Roman" w:cs="Times New Roman"/>
          <w:bCs/>
          <w:sz w:val="24"/>
          <w:szCs w:val="24"/>
        </w:rPr>
        <w:t xml:space="preserve">v.30, n.2, p. 351-355, </w:t>
      </w:r>
      <w:r w:rsidRPr="005F39A3">
        <w:rPr>
          <w:rFonts w:ascii="Times New Roman" w:hAnsi="Times New Roman" w:cs="Times New Roman"/>
          <w:bCs/>
          <w:sz w:val="24"/>
          <w:szCs w:val="24"/>
        </w:rPr>
        <w:t>2007.</w:t>
      </w:r>
    </w:p>
    <w:p w14:paraId="16D3F8DE" w14:textId="6C374C64" w:rsidR="009767C8" w:rsidRPr="005F39A3" w:rsidRDefault="009767C8" w:rsidP="005F39A3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F39A3">
        <w:rPr>
          <w:rFonts w:ascii="Times New Roman" w:hAnsi="Times New Roman" w:cs="Times New Roman"/>
          <w:sz w:val="24"/>
          <w:szCs w:val="24"/>
          <w:lang w:val="en-US"/>
        </w:rPr>
        <w:t>ZHANG, F</w:t>
      </w:r>
      <w:r w:rsidR="00B42081" w:rsidRPr="005F39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F39A3"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="00B42081"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 Structural Studies of the Interaction of </w:t>
      </w:r>
      <w:proofErr w:type="spellStart"/>
      <w:r w:rsidR="00B42081" w:rsidRPr="005F39A3">
        <w:rPr>
          <w:rFonts w:ascii="Times New Roman" w:hAnsi="Times New Roman" w:cs="Times New Roman"/>
          <w:sz w:val="24"/>
          <w:szCs w:val="24"/>
          <w:lang w:val="en-US"/>
        </w:rPr>
        <w:t>Crataeva</w:t>
      </w:r>
      <w:proofErr w:type="spellEnd"/>
      <w:r w:rsidR="00B42081"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2081" w:rsidRPr="005F39A3">
        <w:rPr>
          <w:rFonts w:ascii="Times New Roman" w:hAnsi="Times New Roman" w:cs="Times New Roman"/>
          <w:sz w:val="24"/>
          <w:szCs w:val="24"/>
          <w:lang w:val="en-US"/>
        </w:rPr>
        <w:t>tapia</w:t>
      </w:r>
      <w:proofErr w:type="spellEnd"/>
      <w:r w:rsidR="00B42081"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 Bark Protein with Heparin and Other Glycosaminoglycans. </w:t>
      </w:r>
      <w:r w:rsidR="00B42081" w:rsidRPr="005F39A3">
        <w:rPr>
          <w:rFonts w:ascii="Times New Roman" w:hAnsi="Times New Roman" w:cs="Times New Roman"/>
          <w:i/>
          <w:sz w:val="24"/>
          <w:szCs w:val="24"/>
          <w:lang w:val="en-US"/>
        </w:rPr>
        <w:t>Biochemistry</w:t>
      </w:r>
      <w:r w:rsidR="005F39A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42081" w:rsidRPr="005F39A3">
        <w:rPr>
          <w:rFonts w:ascii="Times New Roman" w:hAnsi="Times New Roman" w:cs="Times New Roman"/>
          <w:sz w:val="24"/>
          <w:szCs w:val="24"/>
          <w:lang w:val="en-US"/>
        </w:rPr>
        <w:t xml:space="preserve"> v.52, p.2148−2156, 2013.</w:t>
      </w:r>
    </w:p>
    <w:sectPr w:rsidR="009767C8" w:rsidRPr="005F39A3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9FA95" w14:textId="77777777" w:rsidR="00D23610" w:rsidRDefault="00D23610" w:rsidP="00C4301C">
      <w:pPr>
        <w:spacing w:after="0" w:line="240" w:lineRule="auto"/>
      </w:pPr>
      <w:r>
        <w:separator/>
      </w:r>
    </w:p>
  </w:endnote>
  <w:endnote w:type="continuationSeparator" w:id="0">
    <w:p w14:paraId="5DC8287B" w14:textId="77777777" w:rsidR="00D23610" w:rsidRDefault="00D23610" w:rsidP="00C4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B69B5" w14:textId="77777777" w:rsidR="00D23610" w:rsidRDefault="00D23610" w:rsidP="00C4301C">
      <w:pPr>
        <w:spacing w:after="0" w:line="240" w:lineRule="auto"/>
      </w:pPr>
      <w:r>
        <w:separator/>
      </w:r>
    </w:p>
  </w:footnote>
  <w:footnote w:type="continuationSeparator" w:id="0">
    <w:p w14:paraId="218363E1" w14:textId="77777777" w:rsidR="00D23610" w:rsidRDefault="00D23610" w:rsidP="00C43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1962245"/>
      <w:docPartObj>
        <w:docPartGallery w:val="Page Numbers (Top of Page)"/>
        <w:docPartUnique/>
      </w:docPartObj>
    </w:sdtPr>
    <w:sdtEndPr/>
    <w:sdtContent>
      <w:p w14:paraId="3838E7D9" w14:textId="77777777" w:rsidR="008B791B" w:rsidRDefault="00D23610">
        <w:pPr>
          <w:pStyle w:val="Cabealho"/>
          <w:jc w:val="right"/>
        </w:pPr>
      </w:p>
      <w:p w14:paraId="7A2352BC" w14:textId="77777777" w:rsidR="008B791B" w:rsidRDefault="00D23610">
        <w:pPr>
          <w:pStyle w:val="Cabealho"/>
          <w:jc w:val="right"/>
        </w:pPr>
      </w:p>
      <w:p w14:paraId="3829F8F9" w14:textId="77777777" w:rsidR="008B791B" w:rsidRDefault="00D23610">
        <w:pPr>
          <w:pStyle w:val="Cabealho"/>
          <w:jc w:val="right"/>
        </w:pPr>
      </w:p>
    </w:sdtContent>
  </w:sdt>
  <w:p w14:paraId="3D4139E8" w14:textId="77777777" w:rsidR="008B791B" w:rsidRDefault="00D236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F0335"/>
    <w:multiLevelType w:val="hybridMultilevel"/>
    <w:tmpl w:val="17B4CCE0"/>
    <w:lvl w:ilvl="0" w:tplc="367EF04C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E50A2"/>
    <w:multiLevelType w:val="multilevel"/>
    <w:tmpl w:val="2DF2EC54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 w15:restartNumberingAfterBreak="0">
    <w:nsid w:val="6CDA33E7"/>
    <w:multiLevelType w:val="hybridMultilevel"/>
    <w:tmpl w:val="9FA4C61A"/>
    <w:lvl w:ilvl="0" w:tplc="6C268048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89"/>
    <w:rsid w:val="00093E3F"/>
    <w:rsid w:val="000A11FB"/>
    <w:rsid w:val="000A1E25"/>
    <w:rsid w:val="000B52B4"/>
    <w:rsid w:val="000C0E7A"/>
    <w:rsid w:val="000D3CEA"/>
    <w:rsid w:val="000F5C52"/>
    <w:rsid w:val="001520F1"/>
    <w:rsid w:val="00171074"/>
    <w:rsid w:val="00251241"/>
    <w:rsid w:val="00313775"/>
    <w:rsid w:val="00345097"/>
    <w:rsid w:val="00396C0D"/>
    <w:rsid w:val="003F7188"/>
    <w:rsid w:val="0041052E"/>
    <w:rsid w:val="00455C64"/>
    <w:rsid w:val="00477264"/>
    <w:rsid w:val="004B48EC"/>
    <w:rsid w:val="004E4848"/>
    <w:rsid w:val="004F7CAE"/>
    <w:rsid w:val="0054453A"/>
    <w:rsid w:val="00557677"/>
    <w:rsid w:val="00566EB7"/>
    <w:rsid w:val="005F0636"/>
    <w:rsid w:val="005F39A3"/>
    <w:rsid w:val="00664C9C"/>
    <w:rsid w:val="006D0606"/>
    <w:rsid w:val="006F730B"/>
    <w:rsid w:val="007151C5"/>
    <w:rsid w:val="007A1389"/>
    <w:rsid w:val="007C1B66"/>
    <w:rsid w:val="0082312A"/>
    <w:rsid w:val="0083570E"/>
    <w:rsid w:val="008428F9"/>
    <w:rsid w:val="0086041C"/>
    <w:rsid w:val="00913176"/>
    <w:rsid w:val="00917B3C"/>
    <w:rsid w:val="0095338B"/>
    <w:rsid w:val="009767C8"/>
    <w:rsid w:val="009F1D2D"/>
    <w:rsid w:val="00A07D8C"/>
    <w:rsid w:val="00A45E5D"/>
    <w:rsid w:val="00A77A4C"/>
    <w:rsid w:val="00A9758E"/>
    <w:rsid w:val="00AB18B8"/>
    <w:rsid w:val="00AB352B"/>
    <w:rsid w:val="00AD1854"/>
    <w:rsid w:val="00AF5490"/>
    <w:rsid w:val="00B42081"/>
    <w:rsid w:val="00B43E3D"/>
    <w:rsid w:val="00B665E7"/>
    <w:rsid w:val="00B70F3A"/>
    <w:rsid w:val="00B71BB5"/>
    <w:rsid w:val="00B71C5C"/>
    <w:rsid w:val="00BA16B2"/>
    <w:rsid w:val="00BD080B"/>
    <w:rsid w:val="00BD402B"/>
    <w:rsid w:val="00BE785F"/>
    <w:rsid w:val="00C22154"/>
    <w:rsid w:val="00C4301C"/>
    <w:rsid w:val="00CC4457"/>
    <w:rsid w:val="00D22C78"/>
    <w:rsid w:val="00D23610"/>
    <w:rsid w:val="00D25E94"/>
    <w:rsid w:val="00D779F2"/>
    <w:rsid w:val="00DB35B1"/>
    <w:rsid w:val="00DD410D"/>
    <w:rsid w:val="00DE355A"/>
    <w:rsid w:val="00DF7F8B"/>
    <w:rsid w:val="00E33341"/>
    <w:rsid w:val="00E66785"/>
    <w:rsid w:val="00E71246"/>
    <w:rsid w:val="00EA6485"/>
    <w:rsid w:val="00F12ED2"/>
    <w:rsid w:val="00F7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99D82"/>
  <w15:chartTrackingRefBased/>
  <w15:docId w15:val="{48F961EB-6E44-42C8-9D03-3969DCBE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9F2"/>
    <w:pPr>
      <w:suppressAutoHyphens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779F2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F7F8B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86041C"/>
  </w:style>
  <w:style w:type="paragraph" w:styleId="Cabealho">
    <w:name w:val="header"/>
    <w:basedOn w:val="Normal"/>
    <w:link w:val="CabealhoChar"/>
    <w:uiPriority w:val="99"/>
    <w:unhideWhenUsed/>
    <w:rsid w:val="00860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uiPriority w:val="99"/>
    <w:semiHidden/>
    <w:rsid w:val="0086041C"/>
  </w:style>
  <w:style w:type="table" w:customStyle="1" w:styleId="TabeladeLista6Colorida1">
    <w:name w:val="Tabela de Lista 6 Colorida1"/>
    <w:basedOn w:val="Tabelanormal"/>
    <w:uiPriority w:val="51"/>
    <w:rsid w:val="0086041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odap">
    <w:name w:val="footer"/>
    <w:basedOn w:val="Normal"/>
    <w:link w:val="RodapChar"/>
    <w:uiPriority w:val="99"/>
    <w:unhideWhenUsed/>
    <w:rsid w:val="00C430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01C"/>
  </w:style>
  <w:style w:type="paragraph" w:customStyle="1" w:styleId="Padro">
    <w:name w:val="Padrão"/>
    <w:rsid w:val="00C4301C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B35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5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5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5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52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3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52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D402B"/>
    <w:rPr>
      <w:color w:val="0563C1" w:themeColor="hyperlink"/>
      <w:u w:val="single"/>
    </w:rPr>
  </w:style>
  <w:style w:type="paragraph" w:customStyle="1" w:styleId="Normal1">
    <w:name w:val="Normal1"/>
    <w:rsid w:val="00A07D8C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arandrade@hot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denir\Downloads\conc%20200%20DPPH%20CE%2050%20final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ldenir\Downloads\Trapia1.xls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ldenir\Downloads\Trapia1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spPr>
            <a:ln w="19050" cap="rnd" cmpd="sng" algn="ctr">
              <a:solidFill>
                <a:schemeClr val="accent1">
                  <a:lumMod val="60000"/>
                  <a:lumOff val="4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trendline>
            <c:spPr>
              <a:ln w="12700" cap="rnd" cmpd="sng" algn="ctr">
                <a:solidFill>
                  <a:schemeClr val="tx1"/>
                </a:solidFill>
                <a:prstDash val="solid"/>
                <a:round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6984663726850094"/>
                  <c:y val="0.28500000000000003"/>
                </c:manualLayout>
              </c:layout>
              <c:numFmt formatCode="General" sourceLinked="0"/>
              <c:spPr>
                <a:noFill/>
                <a:ln w="25400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pt-BR"/>
                </a:p>
              </c:txPr>
            </c:trendlineLbl>
          </c:trendline>
          <c:xVal>
            <c:numRef>
              <c:f>'[conc 200 DPPH CE 50 final.xls]Plan1'!$H$5:$H$12</c:f>
              <c:numCache>
                <c:formatCode>General</c:formatCode>
                <c:ptCount val="8"/>
                <c:pt idx="0">
                  <c:v>200</c:v>
                </c:pt>
                <c:pt idx="1">
                  <c:v>150</c:v>
                </c:pt>
                <c:pt idx="2">
                  <c:v>75</c:v>
                </c:pt>
                <c:pt idx="3">
                  <c:v>50</c:v>
                </c:pt>
                <c:pt idx="4">
                  <c:v>25</c:v>
                </c:pt>
                <c:pt idx="5">
                  <c:v>12</c:v>
                </c:pt>
              </c:numCache>
            </c:numRef>
          </c:xVal>
          <c:yVal>
            <c:numRef>
              <c:f>'[conc 200 DPPH CE 50 final.xls]Plan1'!$I$5:$I$12</c:f>
              <c:numCache>
                <c:formatCode>General</c:formatCode>
                <c:ptCount val="8"/>
                <c:pt idx="0">
                  <c:v>88.50828729281767</c:v>
                </c:pt>
                <c:pt idx="1">
                  <c:v>66.519337016574454</c:v>
                </c:pt>
                <c:pt idx="2">
                  <c:v>41.878453038674031</c:v>
                </c:pt>
                <c:pt idx="3">
                  <c:v>28.50828729281767</c:v>
                </c:pt>
                <c:pt idx="4">
                  <c:v>18.674033149171279</c:v>
                </c:pt>
                <c:pt idx="5">
                  <c:v>6.2983425414364547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9DDA-4F4E-9D5D-F91DD48E94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5614384"/>
        <c:axId val="575614776"/>
      </c:scatterChart>
      <c:valAx>
        <c:axId val="5756143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Concentração µg/mL</a:t>
                </a:r>
              </a:p>
            </c:rich>
          </c:tx>
          <c:overlay val="0"/>
          <c:spPr>
            <a:noFill/>
            <a:ln w="25400"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575614776"/>
        <c:crosses val="autoZero"/>
        <c:crossBetween val="midCat"/>
      </c:valAx>
      <c:valAx>
        <c:axId val="57561477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prstDash val="solid"/>
              <a:round/>
            </a:ln>
            <a:effectLst/>
          </c:spPr>
        </c:majorGridlines>
        <c:minorGridlines>
          <c:spPr>
            <a:ln w="6350" cap="flat" cmpd="sng" algn="ctr">
              <a:noFill/>
              <a:prstDash val="solid"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AAO%</a:t>
                </a:r>
              </a:p>
            </c:rich>
          </c:tx>
          <c:overlay val="0"/>
          <c:spPr>
            <a:noFill/>
            <a:ln w="25400"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575614384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prstDash val="solid"/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180866077871648"/>
          <c:y val="0.10237068965517242"/>
          <c:w val="0.77789936841836382"/>
          <c:h val="0.69978405851208281"/>
        </c:manualLayout>
      </c:layout>
      <c:scatterChart>
        <c:scatterStyle val="smoothMarker"/>
        <c:varyColors val="0"/>
        <c:ser>
          <c:idx val="0"/>
          <c:order val="0"/>
          <c:tx>
            <c:v>Ac. gálico</c:v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0.17306748673583189"/>
                  <c:y val="0.25615268709191369"/>
                </c:manualLayout>
              </c:layout>
              <c:numFmt formatCode="General" sourceLinked="0"/>
            </c:trendlineLbl>
          </c:trendline>
          <c:xVal>
            <c:numRef>
              <c:f>'[Trapia1.xls]Curva de Calibração-fenóis'!$C$1:$J$1</c:f>
              <c:numCache>
                <c:formatCode>General</c:formatCode>
                <c:ptCount val="8"/>
                <c:pt idx="0">
                  <c:v>0.1</c:v>
                </c:pt>
                <c:pt idx="1">
                  <c:v>7.5000000000000011E-2</c:v>
                </c:pt>
                <c:pt idx="2">
                  <c:v>6.0000000000000032E-2</c:v>
                </c:pt>
                <c:pt idx="3">
                  <c:v>4.5000000000000012E-2</c:v>
                </c:pt>
                <c:pt idx="4">
                  <c:v>2.5000000000000001E-2</c:v>
                </c:pt>
                <c:pt idx="5">
                  <c:v>1.4999999999999998E-2</c:v>
                </c:pt>
                <c:pt idx="6">
                  <c:v>1.0000000000000005E-2</c:v>
                </c:pt>
                <c:pt idx="7">
                  <c:v>5.0000000000000036E-3</c:v>
                </c:pt>
              </c:numCache>
            </c:numRef>
          </c:xVal>
          <c:yVal>
            <c:numRef>
              <c:f>'[Trapia1.xls]Curva de Calibração-fenóis'!$C$2:$J$2</c:f>
              <c:numCache>
                <c:formatCode>0.000</c:formatCode>
                <c:ptCount val="8"/>
                <c:pt idx="0" formatCode="General">
                  <c:v>0.75500000000000045</c:v>
                </c:pt>
                <c:pt idx="1">
                  <c:v>0.60233333333333361</c:v>
                </c:pt>
                <c:pt idx="2">
                  <c:v>0.50133333333333341</c:v>
                </c:pt>
                <c:pt idx="3">
                  <c:v>0.36433333333333334</c:v>
                </c:pt>
                <c:pt idx="4">
                  <c:v>0.22133333333333341</c:v>
                </c:pt>
                <c:pt idx="5" formatCode="General">
                  <c:v>0.13200000000000001</c:v>
                </c:pt>
                <c:pt idx="6">
                  <c:v>7.0333333333333428E-2</c:v>
                </c:pt>
                <c:pt idx="7">
                  <c:v>3.8333333333333351E-2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3F50-475E-997C-F09CA08238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5617520"/>
        <c:axId val="575619088"/>
      </c:scatterChart>
      <c:valAx>
        <c:axId val="5756175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[mg/mL]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575619088"/>
        <c:crosses val="autoZero"/>
        <c:crossBetween val="midCat"/>
      </c:valAx>
      <c:valAx>
        <c:axId val="57561908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Absorbância 740nm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575617520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436601281263019"/>
          <c:y val="0.1315396113602392"/>
          <c:w val="0.77243499474404487"/>
          <c:h val="0.67106105010416306"/>
        </c:manualLayout>
      </c:layout>
      <c:scatterChart>
        <c:scatterStyle val="smoothMarker"/>
        <c:varyColors val="0"/>
        <c:ser>
          <c:idx val="0"/>
          <c:order val="0"/>
          <c:tx>
            <c:v>Quercetina</c:v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0.29007254902732366"/>
                  <c:y val="0.18442481275206457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pt-BR"/>
                </a:p>
              </c:txPr>
            </c:trendlineLbl>
          </c:trendline>
          <c:xVal>
            <c:numRef>
              <c:f>'[Trapia1.xls]Curva de calibração - flavonoid'!$C$1:$J$1</c:f>
              <c:numCache>
                <c:formatCode>General</c:formatCode>
                <c:ptCount val="8"/>
                <c:pt idx="0">
                  <c:v>3.0000000000000016E-2</c:v>
                </c:pt>
                <c:pt idx="1">
                  <c:v>2.5000000000000012E-2</c:v>
                </c:pt>
                <c:pt idx="2">
                  <c:v>2.0000000000000011E-2</c:v>
                </c:pt>
                <c:pt idx="3">
                  <c:v>1.4999999999999998E-2</c:v>
                </c:pt>
                <c:pt idx="4">
                  <c:v>1.0000000000000005E-2</c:v>
                </c:pt>
                <c:pt idx="5">
                  <c:v>5.0000000000000036E-3</c:v>
                </c:pt>
                <c:pt idx="6">
                  <c:v>2.5000000000000018E-3</c:v>
                </c:pt>
                <c:pt idx="7">
                  <c:v>1.2500000000000009E-3</c:v>
                </c:pt>
              </c:numCache>
            </c:numRef>
          </c:xVal>
          <c:yVal>
            <c:numRef>
              <c:f>'[Trapia1.xls]Curva de calibração - flavonoid'!$C$2:$J$2</c:f>
              <c:numCache>
                <c:formatCode>General</c:formatCode>
                <c:ptCount val="8"/>
                <c:pt idx="0">
                  <c:v>1.0173333333333334</c:v>
                </c:pt>
                <c:pt idx="1">
                  <c:v>0.87633333333333363</c:v>
                </c:pt>
                <c:pt idx="2">
                  <c:v>0.70600000000000041</c:v>
                </c:pt>
                <c:pt idx="3">
                  <c:v>0.53799999999999992</c:v>
                </c:pt>
                <c:pt idx="4">
                  <c:v>0.39333333333333331</c:v>
                </c:pt>
                <c:pt idx="5">
                  <c:v>0.22533333333333341</c:v>
                </c:pt>
                <c:pt idx="6">
                  <c:v>0.12566666666666668</c:v>
                </c:pt>
                <c:pt idx="7">
                  <c:v>0.10266666666666673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41C0-482D-8BEE-A6ACD3389D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5615952"/>
        <c:axId val="401175048"/>
      </c:scatterChart>
      <c:valAx>
        <c:axId val="5756159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pt-B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[mg/mL]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pt-BR"/>
          </a:p>
        </c:txPr>
        <c:crossAx val="401175048"/>
        <c:crosses val="autoZero"/>
        <c:crossBetween val="midCat"/>
      </c:valAx>
      <c:valAx>
        <c:axId val="40117504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pt-B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Absorbânçia</a:t>
                </a:r>
                <a:r>
                  <a:rPr lang="pt-BR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420nm</a:t>
                </a:r>
                <a:endParaRPr lang="pt-BR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t-BR"/>
          </a:p>
        </c:txPr>
        <c:crossAx val="575615952"/>
        <c:crosses val="autoZero"/>
        <c:crossBetween val="midCat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ACC8F-140E-4D12-98A2-0E3C8771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4143</Words>
  <Characters>22375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Souza</dc:creator>
  <cp:keywords/>
  <dc:description/>
  <cp:lastModifiedBy>João Gomes</cp:lastModifiedBy>
  <cp:revision>3</cp:revision>
  <dcterms:created xsi:type="dcterms:W3CDTF">2018-08-16T11:45:00Z</dcterms:created>
  <dcterms:modified xsi:type="dcterms:W3CDTF">2018-08-16T16:20:00Z</dcterms:modified>
</cp:coreProperties>
</file>